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Calibri" w:cs="Times New Roman"/>
          <w:b/>
          <w:sz w:val="28"/>
          <w:szCs w:val="28"/>
        </w:rPr>
      </w:pPr>
      <w:r>
        <w:rPr>
          <w:rFonts w:eastAsia="Calibri" w:cs="Times New Roman" w:ascii="Times New Roman" w:hAnsi="Times New Roman"/>
          <w:b/>
          <w:sz w:val="28"/>
          <w:szCs w:val="28"/>
        </w:rPr>
        <w:t>ОТЧЕТ</w:t>
      </w:r>
    </w:p>
    <w:p>
      <w:pPr>
        <w:pStyle w:val="Normal"/>
        <w:spacing w:lineRule="auto" w:line="240" w:before="0" w:after="0"/>
        <w:jc w:val="center"/>
        <w:rPr>
          <w:rFonts w:ascii="Times New Roman" w:hAnsi="Times New Roman" w:eastAsia="Calibri" w:cs="Times New Roman"/>
          <w:b/>
          <w:sz w:val="28"/>
          <w:szCs w:val="28"/>
        </w:rPr>
      </w:pPr>
      <w:r>
        <w:rPr>
          <w:rFonts w:eastAsia="Calibri" w:cs="Times New Roman" w:ascii="Times New Roman" w:hAnsi="Times New Roman"/>
          <w:b/>
          <w:sz w:val="28"/>
          <w:szCs w:val="28"/>
        </w:rPr>
        <w:t xml:space="preserve">об итогах работы Тенекаевского территориального отдела администрации Пильнинского муниципального округа </w:t>
      </w:r>
    </w:p>
    <w:p>
      <w:pPr>
        <w:pStyle w:val="Normal"/>
        <w:spacing w:lineRule="auto" w:line="240" w:before="0" w:after="0"/>
        <w:jc w:val="center"/>
        <w:rPr>
          <w:rFonts w:ascii="Times New Roman" w:hAnsi="Times New Roman" w:eastAsia="Calibri" w:cs="Times New Roman"/>
          <w:b/>
          <w:sz w:val="28"/>
          <w:szCs w:val="28"/>
        </w:rPr>
      </w:pPr>
      <w:r>
        <w:rPr>
          <w:rFonts w:eastAsia="Calibri" w:cs="Times New Roman" w:ascii="Times New Roman" w:hAnsi="Times New Roman"/>
          <w:b/>
          <w:sz w:val="28"/>
          <w:szCs w:val="28"/>
        </w:rPr>
        <w:t>Нижегородской области за 2025 год</w:t>
      </w:r>
    </w:p>
    <w:p>
      <w:pPr>
        <w:pStyle w:val="Normal"/>
        <w:spacing w:lineRule="auto" w:line="240" w:before="0" w:after="0"/>
        <w:jc w:val="both"/>
        <w:rPr>
          <w:rFonts w:ascii="Calibri" w:hAnsi="Calibri" w:eastAsia="Calibri" w:cs="Calibri"/>
          <w:sz w:val="28"/>
          <w:szCs w:val="28"/>
        </w:rPr>
      </w:pPr>
      <w:r>
        <w:rPr>
          <w:rFonts w:eastAsia="Calibri" w:cs="Calibri"/>
          <w:sz w:val="28"/>
          <w:szCs w:val="28"/>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Краткая характеристика:</w:t>
      </w:r>
    </w:p>
    <w:p>
      <w:pPr>
        <w:pStyle w:val="Normal"/>
        <w:spacing w:lineRule="auto" w:line="240" w:before="0" w:after="0"/>
        <w:jc w:val="center"/>
        <w:rPr>
          <w:rFonts w:ascii="Times New Roman" w:hAnsi="Times New Roman" w:eastAsia="Calibri" w:cs="Times New Roman"/>
          <w:b/>
          <w:bCs/>
          <w:sz w:val="18"/>
          <w:szCs w:val="18"/>
        </w:rPr>
      </w:pPr>
      <w:r>
        <w:rPr>
          <w:rFonts w:eastAsia="Calibri" w:cs="Times New Roman" w:ascii="Times New Roman" w:hAnsi="Times New Roman"/>
          <w:b/>
          <w:sz w:val="24"/>
          <w:szCs w:val="24"/>
          <w:u w:val="single"/>
        </w:rPr>
        <w:t>ТЕНЕКАЕВСКИЙ ТЕРРИТОРИАЛЬНЫЙ ОТДЕЛ АДМИНИСТРАЦИИ ПИЛЬНИНСКОГО МУНИЦИПАЛЬНОГО ОКРУГА НИЖЕГОРОДСКОЙ ОБЛАСТИ</w:t>
      </w:r>
      <w:r>
        <w:rPr>
          <w:rFonts w:eastAsia="Calibri" w:cs="Times New Roman" w:ascii="Times New Roman" w:hAnsi="Times New Roman"/>
          <w:sz w:val="24"/>
          <w:szCs w:val="24"/>
        </w:rPr>
        <w:t xml:space="preserve"> </w:t>
      </w:r>
      <w:r>
        <w:rPr>
          <w:rFonts w:eastAsia="Calibri" w:cs="Times New Roman" w:ascii="Times New Roman" w:hAnsi="Times New Roman"/>
          <w:sz w:val="18"/>
          <w:szCs w:val="18"/>
        </w:rPr>
        <w:t>(казенное учреждение)</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Тенекаевский территориальный отдел администрации Пильнинского муниципального округа Нижегородской области (далее - Территориальный отдел) является структурным подразделением администрации Пильнинского муниципального округа Нижегородской области (далее – Администрация округа), создан в соответствии со структурой администрации Пильнинского муниципального округа для реализации отдельных управленческих и иных полномочий Администрации на территории административно-территориального образования Тенекаевский сельсовет, включающего в свой следующие населенные пункты: село Тенекаево, село Княжиха, деревня Борнуково, деревня Архангеловка, село Княжиха, село Кисленка, село Мамешево, село Балеевка, село Жданово, село Юморга (далее - подведомственная территория).</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Правовое обеспечение: Федеральный закон от 06.10.2003 г. № 131 ФЗ «Об общих принципах организации местного самоуправления в Российской Федерации», Положения «О Тенекаевском территориальном отделе Администрации Пильнинского муниципального округа Нижегородской области» Утверждено Решением Совета депутатов Пильнинского муниципального округа Нижегородской области от «09» декабря 2022 года № 112.</w:t>
      </w:r>
    </w:p>
    <w:p>
      <w:pPr>
        <w:pStyle w:val="Normal"/>
        <w:shd w:val="clear" w:color="auto" w:fill="FFFFFF"/>
        <w:spacing w:lineRule="auto" w:line="240" w:before="0" w:after="0"/>
        <w:ind w:firstLine="426"/>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Территориальный отдел наделен правами юридического лица, имеет гербовую печать, штампы, бланки и иные реквизиты, предусмотренные действующим законодательством.</w:t>
      </w:r>
    </w:p>
    <w:p>
      <w:pPr>
        <w:pStyle w:val="Normal"/>
        <w:shd w:val="clear" w:color="auto" w:fill="FFFFFF"/>
        <w:spacing w:lineRule="auto" w:line="240" w:before="0" w:after="0"/>
        <w:ind w:firstLine="426"/>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Территориальный отдел осуществляет свою деятельность за счет средств муниципального округа, выделяемых на его содержание и на основании бюджетной сметы как казенное учреждение.</w:t>
      </w:r>
    </w:p>
    <w:p>
      <w:pPr>
        <w:pStyle w:val="Normal"/>
        <w:shd w:val="clear" w:color="auto" w:fill="FFFFFF"/>
        <w:spacing w:lineRule="auto" w:line="240" w:before="0" w:after="0"/>
        <w:ind w:firstLine="426"/>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Руководство деятельностью Территориального отдела осуществляет начальник отдела, назначаемый на должность главой местного самоуправления Пильнинского муниципального округа.</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Численность по утвержденному штатному расписанию - 20 ед.</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начальник территориального отдела (главная должность муниципальной службы)        – 1 ед.;</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главный специалист (старшая муниципальная должность)                                                 – 1 ед.;</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специалист 1 категории (младшая должность муниципальной службы)                           – 1 ед.;</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специалист 1 категории (бухгалтер) (младшая должность муниципальной службы)       – 1 ед.;</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делопроизводитель (должность, не являющая должностью муниципальной службы)    – 1 ед.;</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старший делопроизводитель (должность, не являющая должностью муниципальной</w:t>
      </w:r>
    </w:p>
    <w:p>
      <w:pPr>
        <w:pStyle w:val="Normal"/>
        <w:tabs>
          <w:tab w:val="clear" w:pos="708"/>
          <w:tab w:val="left" w:pos="9225" w:leader="none"/>
        </w:tabs>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службы)     </w:t>
        <w:tab/>
        <w:t xml:space="preserve">    – 1 ед.;</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водитель легкового автомобиля                                                                                              – 1 ед.; </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водитель пожарной машины                                                                                                   – 4 ед.;</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пожарный                                                                                                                                  – 4 ед.;</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методист СДК                                                                                                                           – 3 ед.;</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культорганизатор                                                                                                                   – 0,5 ед.;</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электрик                                                                                                                                  – 0,5 ед.;</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уборщик территории                                                                                                                 – 1 ед;</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Фактическое количество работников по состоянию на 01.01.2025 г. - 21 чел. в т.ч.</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начальник территориального отдела (главная должность муниципальной службы)       –1 чел.;</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главный специалист (старшая муниципальная должность)                                                – 1 чел.</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специалист 1 категории (младшая должность муниципальной службы)                         – 1 чел.;</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специалист 1 категории (бухгалтер) (младшая должность муниципальной службы)     – 1 чел.;</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делопроизводитель (должность, не являющая должностью муниципальной службы)   – 1чел.;</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старший делопроизводитель (должность, не являющая должностью муниципальной</w:t>
      </w:r>
    </w:p>
    <w:p>
      <w:pPr>
        <w:pStyle w:val="Normal"/>
        <w:tabs>
          <w:tab w:val="clear" w:pos="708"/>
          <w:tab w:val="left" w:pos="9225" w:leader="none"/>
        </w:tabs>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службы)     </w:t>
        <w:tab/>
        <w:t xml:space="preserve">   – 1 чел.</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водитель легкового автомобиля                                                                                            – 1 чел.; </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водитель пожарной машины                                                                                                  – 4 чел.;</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пожарный                                                                                                                                 – 4 чел.;</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методист СДК                                                                                                                         – 3 чел.;</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культорганизатор                                                                                                                    – 1чел.;</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электрик                                                                                                                                   – 1 чел.</w:t>
      </w:r>
    </w:p>
    <w:p>
      <w:pPr>
        <w:pStyle w:val="Normal"/>
        <w:tabs>
          <w:tab w:val="clear" w:pos="708"/>
          <w:tab w:val="left" w:pos="9405" w:leader="none"/>
        </w:tabs>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 уборщик территории</w:t>
        <w:tab/>
        <w:t>–1 чел.</w:t>
      </w:r>
    </w:p>
    <w:p>
      <w:pPr>
        <w:pStyle w:val="Normal"/>
        <w:spacing w:lineRule="auto" w:line="240" w:before="0" w:after="0"/>
        <w:ind w:firstLine="709"/>
        <w:jc w:val="both"/>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 xml:space="preserve">Все рабочие места оснащены современными основными средствами (компьютеры, ноутбуки,  МФУ, принтеры, мебель), отвечающими требованиям безопасности. </w:t>
      </w:r>
    </w:p>
    <w:p>
      <w:pPr>
        <w:pStyle w:val="Normal"/>
        <w:spacing w:lineRule="auto" w:line="240" w:before="0" w:after="0"/>
        <w:ind w:firstLine="709"/>
        <w:jc w:val="both"/>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Иные основные средства находятся в удовлетворительном состоянии.</w:t>
      </w:r>
    </w:p>
    <w:p>
      <w:pPr>
        <w:pStyle w:val="Normal"/>
        <w:spacing w:lineRule="auto" w:line="240" w:before="0" w:after="0"/>
        <w:ind w:firstLine="709"/>
        <w:jc w:val="both"/>
        <w:rPr>
          <w:rFonts w:ascii="Times New Roman" w:hAnsi="Times New Roman" w:eastAsia="Times New Roman" w:cs="Times New Roman"/>
          <w:b/>
          <w:bCs/>
          <w:iCs/>
          <w:sz w:val="24"/>
          <w:szCs w:val="24"/>
          <w:lang w:eastAsia="ru-RU"/>
        </w:rPr>
      </w:pPr>
      <w:r>
        <w:rPr>
          <w:rFonts w:eastAsia="Times New Roman" w:cs="Times New Roman" w:ascii="Times New Roman" w:hAnsi="Times New Roman"/>
          <w:b/>
          <w:bCs/>
          <w:iCs/>
          <w:sz w:val="24"/>
          <w:szCs w:val="24"/>
          <w:lang w:eastAsia="ru-RU"/>
        </w:rPr>
      </w:r>
    </w:p>
    <w:p>
      <w:pPr>
        <w:pStyle w:val="Normal"/>
        <w:spacing w:lineRule="auto" w:line="240" w:before="0" w:after="0"/>
        <w:jc w:val="center"/>
        <w:rPr>
          <w:rFonts w:ascii="Times New Roman" w:hAnsi="Times New Roman" w:eastAsia="Times New Roman" w:cs="Times New Roman"/>
          <w:b/>
          <w:bCs/>
          <w:iCs/>
          <w:sz w:val="26"/>
          <w:szCs w:val="26"/>
          <w:lang w:eastAsia="ru-RU"/>
        </w:rPr>
      </w:pPr>
      <w:r>
        <w:rPr>
          <w:rFonts w:eastAsia="Times New Roman" w:cs="Times New Roman" w:ascii="Times New Roman" w:hAnsi="Times New Roman"/>
          <w:b/>
          <w:bCs/>
          <w:iCs/>
          <w:sz w:val="26"/>
          <w:szCs w:val="26"/>
          <w:lang w:eastAsia="ru-RU"/>
        </w:rPr>
        <w:t>Расходы территориального отдела</w:t>
      </w:r>
    </w:p>
    <w:p>
      <w:pPr>
        <w:pStyle w:val="Normal"/>
        <w:spacing w:lineRule="auto" w:line="240" w:before="0" w:after="0"/>
        <w:jc w:val="both"/>
        <w:rPr>
          <w:rFonts w:ascii="Times New Roman" w:hAnsi="Times New Roman" w:eastAsia="Times New Roman" w:cs="Times New Roman"/>
          <w:bCs/>
          <w:iCs/>
          <w:lang w:eastAsia="ru-RU"/>
        </w:rPr>
      </w:pPr>
      <w:r>
        <w:rPr>
          <w:rFonts w:eastAsia="Times New Roman" w:cs="Times New Roman" w:ascii="Times New Roman" w:hAnsi="Times New Roman"/>
          <w:bCs/>
          <w:iCs/>
          <w:lang w:eastAsia="ru-RU"/>
        </w:rPr>
      </w:r>
    </w:p>
    <w:tbl>
      <w:tblPr>
        <w:tblW w:w="9781" w:type="dxa"/>
        <w:jc w:val="left"/>
        <w:tblInd w:w="-127" w:type="dxa"/>
        <w:tblLayout w:type="fixed"/>
        <w:tblCellMar>
          <w:top w:w="15" w:type="dxa"/>
          <w:left w:w="15" w:type="dxa"/>
          <w:bottom w:w="0" w:type="dxa"/>
          <w:right w:w="15" w:type="dxa"/>
        </w:tblCellMar>
        <w:tblLook w:firstRow="1" w:noVBand="1" w:lastRow="0" w:firstColumn="1" w:lastColumn="0" w:noHBand="0" w:val="04a0"/>
      </w:tblPr>
      <w:tblGrid>
        <w:gridCol w:w="2977"/>
        <w:gridCol w:w="1701"/>
        <w:gridCol w:w="2126"/>
        <w:gridCol w:w="1417"/>
        <w:gridCol w:w="1560"/>
      </w:tblGrid>
      <w:tr>
        <w:trPr>
          <w:trHeight w:val="1095" w:hRule="atLeast"/>
        </w:trPr>
        <w:tc>
          <w:tcPr>
            <w:tcW w:w="2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Наименование показателя</w:t>
            </w:r>
          </w:p>
        </w:tc>
        <w:tc>
          <w:tcPr>
            <w:tcW w:w="1701" w:type="dxa"/>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 xml:space="preserve">Код расхода по бюджетной классификации </w:t>
            </w:r>
          </w:p>
        </w:tc>
        <w:tc>
          <w:tcPr>
            <w:tcW w:w="2126" w:type="dxa"/>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Уточненные бюджетные назначения по состоянию на 01.01.2025 года</w:t>
            </w:r>
          </w:p>
        </w:tc>
        <w:tc>
          <w:tcPr>
            <w:tcW w:w="1417" w:type="dxa"/>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Исполнено на 01.01.2025 года</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 исполнения к году</w:t>
            </w:r>
          </w:p>
        </w:tc>
      </w:tr>
      <w:tr>
        <w:trPr>
          <w:trHeight w:val="152" w:hRule="atLeast"/>
        </w:trPr>
        <w:tc>
          <w:tcPr>
            <w:tcW w:w="2977"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w:t>
            </w:r>
          </w:p>
        </w:tc>
        <w:tc>
          <w:tcPr>
            <w:tcW w:w="17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w:t>
            </w:r>
          </w:p>
        </w:tc>
        <w:tc>
          <w:tcPr>
            <w:tcW w:w="212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3</w:t>
            </w:r>
          </w:p>
        </w:tc>
        <w:tc>
          <w:tcPr>
            <w:tcW w:w="141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4</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5</w:t>
            </w:r>
          </w:p>
        </w:tc>
      </w:tr>
      <w:tr>
        <w:trPr>
          <w:trHeight w:val="315" w:hRule="atLeast"/>
        </w:trPr>
        <w:tc>
          <w:tcPr>
            <w:tcW w:w="2977"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Calibri" w:cs="Times New Roman"/>
                <w:bCs/>
                <w:sz w:val="20"/>
                <w:szCs w:val="20"/>
              </w:rPr>
            </w:pPr>
            <w:bookmarkStart w:id="0" w:name="RANGE!A10"/>
            <w:r>
              <w:rPr>
                <w:rFonts w:eastAsia="Calibri" w:cs="Times New Roman" w:ascii="Times New Roman" w:hAnsi="Times New Roman"/>
                <w:bCs/>
                <w:sz w:val="20"/>
                <w:szCs w:val="20"/>
              </w:rPr>
              <w:t>Расходы бюджета  всего</w:t>
            </w:r>
            <w:bookmarkEnd w:id="0"/>
          </w:p>
        </w:tc>
        <w:tc>
          <w:tcPr>
            <w:tcW w:w="17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r>
          </w:p>
        </w:tc>
        <w:tc>
          <w:tcPr>
            <w:tcW w:w="212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29389,1</w:t>
            </w:r>
          </w:p>
        </w:tc>
        <w:tc>
          <w:tcPr>
            <w:tcW w:w="141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28126,4</w:t>
            </w:r>
          </w:p>
        </w:tc>
        <w:tc>
          <w:tcPr>
            <w:tcW w:w="15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95,7</w:t>
            </w:r>
          </w:p>
        </w:tc>
      </w:tr>
      <w:tr>
        <w:trPr>
          <w:trHeight w:val="315" w:hRule="atLeast"/>
        </w:trPr>
        <w:tc>
          <w:tcPr>
            <w:tcW w:w="2977"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в том числе:</w:t>
            </w:r>
          </w:p>
        </w:tc>
        <w:tc>
          <w:tcPr>
            <w:tcW w:w="17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12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141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156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r>
          </w:p>
        </w:tc>
      </w:tr>
      <w:tr>
        <w:trPr>
          <w:trHeight w:val="315" w:hRule="atLeast"/>
        </w:trPr>
        <w:tc>
          <w:tcPr>
            <w:tcW w:w="297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Calibri" w:cs="Times New Roman"/>
                <w:bCs/>
                <w:sz w:val="20"/>
                <w:szCs w:val="20"/>
              </w:rPr>
            </w:pPr>
            <w:r>
              <w:rPr>
                <w:rFonts w:eastAsia="Calibri" w:cs="Times New Roman" w:ascii="Times New Roman" w:hAnsi="Times New Roman"/>
                <w:bCs/>
                <w:sz w:val="20"/>
                <w:szCs w:val="20"/>
              </w:rPr>
              <w:t>Общегосударственные вопросы</w:t>
            </w:r>
          </w:p>
        </w:tc>
        <w:tc>
          <w:tcPr>
            <w:tcW w:w="1701"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0100</w:t>
            </w:r>
          </w:p>
        </w:tc>
        <w:tc>
          <w:tcPr>
            <w:tcW w:w="2126"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5043,9</w:t>
            </w:r>
          </w:p>
        </w:tc>
        <w:tc>
          <w:tcPr>
            <w:tcW w:w="1417"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5011,1</w:t>
            </w:r>
          </w:p>
        </w:tc>
        <w:tc>
          <w:tcPr>
            <w:tcW w:w="156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highlight w:val="yellow"/>
              </w:rPr>
            </w:pPr>
            <w:r>
              <w:rPr>
                <w:rFonts w:eastAsia="Calibri" w:cs="Times New Roman" w:ascii="Times New Roman" w:hAnsi="Times New Roman"/>
                <w:bCs/>
                <w:sz w:val="20"/>
                <w:szCs w:val="20"/>
              </w:rPr>
              <w:t>99,3</w:t>
            </w:r>
          </w:p>
        </w:tc>
      </w:tr>
      <w:tr>
        <w:trPr>
          <w:trHeight w:val="749" w:hRule="atLeast"/>
        </w:trPr>
        <w:tc>
          <w:tcPr>
            <w:tcW w:w="297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Calibri" w:cs="Times New Roman"/>
                <w:bCs/>
                <w:sz w:val="20"/>
                <w:szCs w:val="20"/>
              </w:rPr>
            </w:pPr>
            <w:r>
              <w:rPr>
                <w:rFonts w:eastAsia="Calibri" w:cs="Times New Roman" w:ascii="Times New Roman" w:hAnsi="Times New Roman"/>
                <w:bCs/>
                <w:sz w:val="20"/>
                <w:szCs w:val="20"/>
              </w:rPr>
              <w:t>Национальная безопасность и правоохранительная деятельность</w:t>
            </w:r>
          </w:p>
        </w:tc>
        <w:tc>
          <w:tcPr>
            <w:tcW w:w="1701"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highlight w:val="yellow"/>
              </w:rPr>
            </w:pPr>
            <w:r>
              <w:rPr>
                <w:rFonts w:eastAsia="Calibri" w:cs="Times New Roman" w:ascii="Times New Roman" w:hAnsi="Times New Roman"/>
                <w:bCs/>
                <w:sz w:val="20"/>
                <w:szCs w:val="20"/>
              </w:rPr>
              <w:t>0300</w:t>
            </w:r>
          </w:p>
        </w:tc>
        <w:tc>
          <w:tcPr>
            <w:tcW w:w="2126"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4537,9</w:t>
            </w:r>
          </w:p>
        </w:tc>
        <w:tc>
          <w:tcPr>
            <w:tcW w:w="1417"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4527,7</w:t>
            </w:r>
          </w:p>
        </w:tc>
        <w:tc>
          <w:tcPr>
            <w:tcW w:w="156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Calibri" w:cs="Times New Roman"/>
                <w:bCs/>
                <w:sz w:val="20"/>
                <w:szCs w:val="20"/>
              </w:rPr>
            </w:pPr>
            <w:r>
              <w:rPr>
                <w:rFonts w:eastAsia="Calibri" w:cs="Times New Roman" w:ascii="Times New Roman" w:hAnsi="Times New Roman"/>
                <w:bCs/>
                <w:sz w:val="20"/>
                <w:szCs w:val="20"/>
              </w:rPr>
              <w:t xml:space="preserve">            </w:t>
            </w:r>
            <w:r>
              <w:rPr>
                <w:rFonts w:eastAsia="Calibri" w:cs="Times New Roman" w:ascii="Times New Roman" w:hAnsi="Times New Roman"/>
                <w:bCs/>
                <w:sz w:val="20"/>
                <w:szCs w:val="20"/>
              </w:rPr>
              <w:t>99,8</w:t>
            </w:r>
          </w:p>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r>
          </w:p>
        </w:tc>
      </w:tr>
      <w:tr>
        <w:trPr>
          <w:trHeight w:val="315" w:hRule="atLeast"/>
        </w:trPr>
        <w:tc>
          <w:tcPr>
            <w:tcW w:w="2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Calibri" w:cs="Times New Roman"/>
                <w:bCs/>
                <w:sz w:val="20"/>
                <w:szCs w:val="20"/>
              </w:rPr>
            </w:pPr>
            <w:r>
              <w:rPr>
                <w:rFonts w:eastAsia="Calibri" w:cs="Times New Roman" w:ascii="Times New Roman" w:hAnsi="Times New Roman"/>
                <w:bCs/>
                <w:sz w:val="20"/>
                <w:szCs w:val="20"/>
              </w:rPr>
              <w:t>Национальная экономика</w:t>
            </w:r>
          </w:p>
        </w:tc>
        <w:tc>
          <w:tcPr>
            <w:tcW w:w="17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0400</w:t>
            </w:r>
          </w:p>
        </w:tc>
        <w:tc>
          <w:tcPr>
            <w:tcW w:w="2126"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13436,3</w:t>
            </w:r>
          </w:p>
        </w:tc>
        <w:tc>
          <w:tcPr>
            <w:tcW w:w="1417"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12604,2</w:t>
            </w:r>
          </w:p>
        </w:tc>
        <w:tc>
          <w:tcPr>
            <w:tcW w:w="156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93,8</w:t>
            </w:r>
          </w:p>
        </w:tc>
      </w:tr>
      <w:tr>
        <w:trPr>
          <w:trHeight w:val="690" w:hRule="atLeast"/>
        </w:trPr>
        <w:tc>
          <w:tcPr>
            <w:tcW w:w="2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Calibri" w:cs="Times New Roman"/>
                <w:bCs/>
                <w:sz w:val="20"/>
                <w:szCs w:val="20"/>
              </w:rPr>
            </w:pPr>
            <w:r>
              <w:rPr>
                <w:rFonts w:eastAsia="Calibri" w:cs="Times New Roman" w:ascii="Times New Roman" w:hAnsi="Times New Roman"/>
                <w:bCs/>
                <w:sz w:val="20"/>
                <w:szCs w:val="20"/>
              </w:rPr>
              <w:t>Жилищно-коммунальное хозяйство</w:t>
            </w:r>
          </w:p>
        </w:tc>
        <w:tc>
          <w:tcPr>
            <w:tcW w:w="17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0500</w:t>
            </w:r>
          </w:p>
        </w:tc>
        <w:tc>
          <w:tcPr>
            <w:tcW w:w="2126"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2789,2</w:t>
            </w:r>
          </w:p>
        </w:tc>
        <w:tc>
          <w:tcPr>
            <w:tcW w:w="1417"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2726,7</w:t>
            </w:r>
          </w:p>
        </w:tc>
        <w:tc>
          <w:tcPr>
            <w:tcW w:w="156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97,8</w:t>
            </w:r>
          </w:p>
        </w:tc>
      </w:tr>
      <w:tr>
        <w:trPr>
          <w:trHeight w:val="300" w:hRule="atLeast"/>
        </w:trPr>
        <w:tc>
          <w:tcPr>
            <w:tcW w:w="2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Calibri" w:cs="Times New Roman"/>
                <w:bCs/>
                <w:sz w:val="20"/>
                <w:szCs w:val="20"/>
              </w:rPr>
            </w:pPr>
            <w:r>
              <w:rPr>
                <w:rFonts w:eastAsia="Calibri" w:cs="Times New Roman" w:ascii="Times New Roman" w:hAnsi="Times New Roman"/>
                <w:bCs/>
                <w:sz w:val="20"/>
                <w:szCs w:val="20"/>
              </w:rPr>
              <w:t>Культура и кинематография.</w:t>
            </w:r>
          </w:p>
        </w:tc>
        <w:tc>
          <w:tcPr>
            <w:tcW w:w="17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0800</w:t>
            </w:r>
          </w:p>
        </w:tc>
        <w:tc>
          <w:tcPr>
            <w:tcW w:w="2126"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2981,7</w:t>
            </w:r>
          </w:p>
        </w:tc>
        <w:tc>
          <w:tcPr>
            <w:tcW w:w="1417"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2956,8</w:t>
            </w:r>
          </w:p>
        </w:tc>
        <w:tc>
          <w:tcPr>
            <w:tcW w:w="156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99,2</w:t>
            </w:r>
          </w:p>
        </w:tc>
      </w:tr>
      <w:tr>
        <w:trPr>
          <w:trHeight w:val="300" w:hRule="atLeast"/>
        </w:trPr>
        <w:tc>
          <w:tcPr>
            <w:tcW w:w="2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Calibri" w:cs="Times New Roman"/>
                <w:bCs/>
                <w:sz w:val="20"/>
                <w:szCs w:val="20"/>
              </w:rPr>
            </w:pPr>
            <w:r>
              <w:rPr>
                <w:rFonts w:eastAsia="Calibri" w:cs="Times New Roman" w:ascii="Times New Roman" w:hAnsi="Times New Roman"/>
                <w:bCs/>
                <w:sz w:val="20"/>
                <w:szCs w:val="20"/>
              </w:rPr>
              <w:t>Другие вопросы в области социальной политики</w:t>
            </w:r>
          </w:p>
        </w:tc>
        <w:tc>
          <w:tcPr>
            <w:tcW w:w="17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0113</w:t>
            </w:r>
          </w:p>
        </w:tc>
        <w:tc>
          <w:tcPr>
            <w:tcW w:w="2126"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600,0</w:t>
            </w:r>
          </w:p>
        </w:tc>
        <w:tc>
          <w:tcPr>
            <w:tcW w:w="1417"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300,0</w:t>
            </w:r>
          </w:p>
        </w:tc>
        <w:tc>
          <w:tcPr>
            <w:tcW w:w="156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50,0</w:t>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hd w:val="clear" w:color="auto" w:fill="FFFFFF"/>
        <w:spacing w:lineRule="auto" w:line="240" w:before="0" w:after="0"/>
        <w:jc w:val="center"/>
        <w:rPr>
          <w:rFonts w:ascii="Times New Roman" w:hAnsi="Times New Roman" w:eastAsia="Times New Roman" w:cs="Times New Roman"/>
          <w:color w:val="212121"/>
          <w:sz w:val="26"/>
          <w:szCs w:val="26"/>
          <w:lang w:eastAsia="ru-RU"/>
        </w:rPr>
      </w:pPr>
      <w:r>
        <w:rPr>
          <w:rFonts w:eastAsia="Times New Roman" w:cs="Times New Roman" w:ascii="Times New Roman" w:hAnsi="Times New Roman"/>
          <w:b/>
          <w:bCs/>
          <w:color w:val="212121"/>
          <w:sz w:val="26"/>
          <w:szCs w:val="26"/>
          <w:lang w:eastAsia="ru-RU"/>
        </w:rPr>
        <w:t>«Обеспечение пожарной безопасности, защита населения</w:t>
      </w:r>
    </w:p>
    <w:p>
      <w:pPr>
        <w:pStyle w:val="Normal"/>
        <w:shd w:val="clear" w:color="auto" w:fill="FFFFFF"/>
        <w:spacing w:lineRule="auto" w:line="240" w:before="0" w:after="0"/>
        <w:jc w:val="center"/>
        <w:rPr>
          <w:rFonts w:ascii="Times New Roman" w:hAnsi="Times New Roman" w:eastAsia="Times New Roman" w:cs="Times New Roman"/>
          <w:b/>
          <w:bCs/>
          <w:color w:val="212121"/>
          <w:sz w:val="26"/>
          <w:szCs w:val="26"/>
          <w:lang w:eastAsia="ru-RU"/>
        </w:rPr>
      </w:pPr>
      <w:r>
        <w:rPr>
          <w:rFonts w:eastAsia="Times New Roman" w:cs="Times New Roman" w:ascii="Times New Roman" w:hAnsi="Times New Roman"/>
          <w:b/>
          <w:bCs/>
          <w:color w:val="212121"/>
          <w:sz w:val="26"/>
          <w:szCs w:val="26"/>
          <w:lang w:eastAsia="ru-RU"/>
        </w:rPr>
        <w:t>и территории от чрезвычайных ситуаций»</w:t>
      </w:r>
    </w:p>
    <w:p>
      <w:pPr>
        <w:pStyle w:val="Normal"/>
        <w:shd w:val="clear" w:color="auto" w:fill="FFFFFF"/>
        <w:spacing w:lineRule="auto" w:line="240" w:before="0" w:after="0"/>
        <w:ind w:firstLine="709"/>
        <w:jc w:val="both"/>
        <w:rPr>
          <w:rFonts w:ascii="Times New Roman" w:hAnsi="Times New Roman" w:eastAsia="Times New Roman" w:cs="Times New Roman"/>
          <w:color w:val="212121"/>
          <w:sz w:val="24"/>
          <w:szCs w:val="24"/>
          <w:lang w:eastAsia="ru-RU"/>
        </w:rPr>
      </w:pPr>
      <w:r>
        <w:rPr>
          <w:rFonts w:eastAsia="Times New Roman" w:cs="Times New Roman" w:ascii="Times New Roman" w:hAnsi="Times New Roman"/>
          <w:color w:val="212121"/>
          <w:sz w:val="24"/>
          <w:szCs w:val="24"/>
          <w:lang w:eastAsia="ru-RU"/>
        </w:rPr>
        <w:t>Для обеспечения пожарной безопасности на территории Тенекаевского территориального отдела проводилось информирование населения о правилах пожарной безопасности путем размещения информации на информационных стендах.</w:t>
      </w:r>
    </w:p>
    <w:p>
      <w:pPr>
        <w:pStyle w:val="Normal"/>
        <w:shd w:val="clear" w:color="auto" w:fill="FFFFFF"/>
        <w:spacing w:lineRule="auto" w:line="240" w:before="0" w:after="0"/>
        <w:ind w:firstLine="709"/>
        <w:jc w:val="both"/>
        <w:rPr>
          <w:rFonts w:ascii="Times New Roman" w:hAnsi="Times New Roman" w:eastAsia="Times New Roman" w:cs="Times New Roman"/>
          <w:color w:val="212121"/>
          <w:sz w:val="24"/>
          <w:szCs w:val="24"/>
          <w:lang w:eastAsia="ru-RU"/>
        </w:rPr>
      </w:pPr>
      <w:r>
        <w:rPr>
          <w:rFonts w:eastAsia="Times New Roman" w:cs="Times New Roman" w:ascii="Times New Roman" w:hAnsi="Times New Roman"/>
          <w:color w:val="212121"/>
          <w:sz w:val="24"/>
          <w:szCs w:val="24"/>
          <w:lang w:eastAsia="ru-RU"/>
        </w:rPr>
        <w:t>За 2025 год на территории Тенекаевского территориального отдела  было зарегистрировано     5 пожаров,  выезжали на пожары в соседние территориальные отделы </w:t>
      </w:r>
    </w:p>
    <w:p>
      <w:pPr>
        <w:pStyle w:val="Normal"/>
        <w:shd w:val="clear" w:color="auto" w:fill="FFFFFF"/>
        <w:spacing w:lineRule="auto" w:line="240" w:before="0" w:after="0"/>
        <w:ind w:firstLine="709"/>
        <w:jc w:val="both"/>
        <w:rPr>
          <w:rFonts w:ascii="Times New Roman" w:hAnsi="Times New Roman" w:eastAsia="Times New Roman" w:cs="Times New Roman"/>
          <w:color w:val="212121"/>
          <w:sz w:val="24"/>
          <w:szCs w:val="24"/>
          <w:lang w:eastAsia="ru-RU"/>
        </w:rPr>
      </w:pPr>
      <w:r>
        <w:rPr>
          <w:rFonts w:eastAsia="Times New Roman" w:cs="Times New Roman" w:ascii="Times New Roman" w:hAnsi="Times New Roman"/>
          <w:color w:val="212121"/>
          <w:sz w:val="24"/>
          <w:szCs w:val="24"/>
          <w:lang w:eastAsia="ru-RU"/>
        </w:rPr>
        <w:t>В целях пожарной безопасности в 2025 году Тенекаевским территориальным отделом проводились:</w:t>
      </w:r>
    </w:p>
    <w:p>
      <w:pPr>
        <w:pStyle w:val="Normal"/>
        <w:shd w:val="clear" w:color="auto" w:fill="FFFFFF"/>
        <w:spacing w:lineRule="auto" w:line="240" w:before="0" w:after="0"/>
        <w:ind w:firstLine="709"/>
        <w:jc w:val="both"/>
        <w:rPr>
          <w:rFonts w:ascii="Times New Roman" w:hAnsi="Times New Roman" w:eastAsia="Times New Roman" w:cs="Times New Roman"/>
          <w:color w:val="212121"/>
          <w:sz w:val="24"/>
          <w:szCs w:val="24"/>
          <w:lang w:eastAsia="ru-RU"/>
        </w:rPr>
      </w:pPr>
      <w:r>
        <w:rPr>
          <w:rFonts w:eastAsia="Times New Roman" w:cs="Times New Roman" w:ascii="Times New Roman" w:hAnsi="Times New Roman"/>
          <w:color w:val="212121"/>
          <w:sz w:val="24"/>
          <w:szCs w:val="24"/>
          <w:lang w:eastAsia="ru-RU"/>
        </w:rPr>
        <w:t>- профилактические работы на территории административно-территориального образования по соблюдению мер при возникновении и для предупреждения ЧС;</w:t>
      </w:r>
    </w:p>
    <w:p>
      <w:pPr>
        <w:pStyle w:val="Normal"/>
        <w:shd w:val="clear" w:color="auto" w:fill="FFFFFF"/>
        <w:spacing w:lineRule="auto" w:line="240" w:before="0" w:after="0"/>
        <w:ind w:firstLine="709"/>
        <w:jc w:val="both"/>
        <w:rPr>
          <w:rFonts w:ascii="Times New Roman" w:hAnsi="Times New Roman" w:eastAsia="Times New Roman" w:cs="Times New Roman"/>
          <w:color w:val="212121"/>
          <w:sz w:val="24"/>
          <w:szCs w:val="24"/>
          <w:lang w:eastAsia="ru-RU"/>
        </w:rPr>
      </w:pPr>
      <w:r>
        <w:rPr>
          <w:rFonts w:eastAsia="Times New Roman" w:cs="Times New Roman" w:ascii="Times New Roman" w:hAnsi="Times New Roman"/>
          <w:color w:val="212121"/>
          <w:sz w:val="24"/>
          <w:szCs w:val="24"/>
          <w:lang w:eastAsia="ru-RU"/>
        </w:rPr>
        <w:t>- совместно с инспектором отделения надзорной деятельности и профилактической работы, представителем ГБУ «ЦСОГПВИИ Пильнинского муниципального округа» и специалистом УСЗН Пильнинского муниципального округа» были установлены АПИ в жилых домах, где проживают семьи с детьми из группы риска, проведены беседы о мерах пожарной безопасности.</w:t>
      </w:r>
    </w:p>
    <w:p>
      <w:pPr>
        <w:pStyle w:val="Normal"/>
        <w:shd w:val="clear" w:color="auto" w:fill="FFFFFF"/>
        <w:spacing w:lineRule="auto" w:line="240" w:before="0" w:after="0"/>
        <w:ind w:firstLine="709"/>
        <w:jc w:val="both"/>
        <w:rPr>
          <w:rFonts w:ascii="Times New Roman" w:hAnsi="Times New Roman" w:eastAsia="Times New Roman" w:cs="Times New Roman"/>
          <w:color w:val="212121"/>
          <w:sz w:val="24"/>
          <w:szCs w:val="24"/>
          <w:lang w:eastAsia="ru-RU"/>
        </w:rPr>
      </w:pPr>
      <w:r>
        <w:rPr>
          <w:rFonts w:eastAsia="Times New Roman" w:cs="Times New Roman" w:ascii="Times New Roman" w:hAnsi="Times New Roman"/>
          <w:color w:val="212121"/>
          <w:sz w:val="24"/>
          <w:szCs w:val="24"/>
          <w:lang w:eastAsia="ru-RU"/>
        </w:rPr>
        <w:t>- спил аварийных деревьев.</w:t>
      </w:r>
    </w:p>
    <w:p>
      <w:pPr>
        <w:pStyle w:val="Normal"/>
        <w:shd w:val="clear" w:color="auto" w:fill="FFFFFF"/>
        <w:spacing w:lineRule="auto" w:line="240" w:before="0" w:after="0"/>
        <w:ind w:firstLine="709"/>
        <w:jc w:val="both"/>
        <w:rPr>
          <w:rFonts w:ascii="Times New Roman" w:hAnsi="Times New Roman" w:eastAsia="Times New Roman" w:cs="Times New Roman"/>
          <w:color w:val="212121"/>
          <w:sz w:val="24"/>
          <w:szCs w:val="24"/>
          <w:lang w:eastAsia="ru-RU"/>
        </w:rPr>
      </w:pPr>
      <w:r>
        <w:rPr>
          <w:rFonts w:eastAsia="Times New Roman" w:cs="Times New Roman" w:ascii="Times New Roman" w:hAnsi="Times New Roman"/>
          <w:color w:val="212121"/>
          <w:sz w:val="24"/>
          <w:szCs w:val="24"/>
          <w:lang w:eastAsia="ru-RU"/>
        </w:rPr>
        <w:t>- очистка и углубление противопожарного водоема в с. Княжиха на ул. Полевая на средства целевого финансового резерва для предупреждения и ликвидации чрезвычайных ситуаций и последствий стихийных бедствий.</w:t>
      </w:r>
    </w:p>
    <w:p>
      <w:pPr>
        <w:pStyle w:val="Normal"/>
        <w:shd w:val="clear" w:color="auto" w:fill="FFFFFF"/>
        <w:spacing w:lineRule="auto" w:line="240" w:before="0" w:after="0"/>
        <w:ind w:firstLine="709"/>
        <w:jc w:val="both"/>
        <w:rPr>
          <w:rFonts w:ascii="Times New Roman" w:hAnsi="Times New Roman" w:eastAsia="Times New Roman" w:cs="Times New Roman"/>
          <w:color w:val="212121"/>
          <w:sz w:val="24"/>
          <w:szCs w:val="24"/>
          <w:lang w:eastAsia="ru-RU"/>
        </w:rPr>
      </w:pPr>
      <w:r>
        <w:rPr>
          <w:rFonts w:eastAsia="Times New Roman" w:cs="Times New Roman" w:ascii="Times New Roman" w:hAnsi="Times New Roman"/>
          <w:color w:val="212121"/>
          <w:sz w:val="24"/>
          <w:szCs w:val="24"/>
          <w:lang w:eastAsia="ru-RU"/>
        </w:rPr>
      </w:r>
    </w:p>
    <w:p>
      <w:pPr>
        <w:pStyle w:val="Normal"/>
        <w:shd w:val="clear" w:color="auto" w:fill="FFFFFF"/>
        <w:spacing w:lineRule="auto" w:line="240" w:before="0" w:after="0"/>
        <w:jc w:val="center"/>
        <w:rPr>
          <w:rFonts w:ascii="Times New Roman" w:hAnsi="Times New Roman" w:eastAsia="Times New Roman" w:cs="Times New Roman"/>
          <w:b/>
          <w:bCs/>
          <w:color w:val="212121"/>
          <w:sz w:val="26"/>
          <w:szCs w:val="26"/>
          <w:lang w:eastAsia="ru-RU"/>
        </w:rPr>
      </w:pPr>
      <w:r>
        <w:rPr>
          <w:rFonts w:eastAsia="Times New Roman" w:cs="Times New Roman" w:ascii="Times New Roman" w:hAnsi="Times New Roman"/>
          <w:b/>
          <w:bCs/>
          <w:color w:val="212121"/>
          <w:sz w:val="26"/>
          <w:szCs w:val="26"/>
          <w:lang w:eastAsia="ru-RU"/>
        </w:rPr>
        <w:t>Благоустройство</w:t>
      </w:r>
    </w:p>
    <w:p>
      <w:pPr>
        <w:pStyle w:val="Normal"/>
        <w:shd w:val="clear" w:color="auto" w:fill="FFFFFF"/>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Один из самых актуальных вопросов в работе территориального отдела -  это благоустройство и санитарная очистка территории поселения. Красота и внешний вид поселения полностью зависит от нашего с вами общего труда.</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Постоянно велась работа по содержанию площадок, где установлены контейнеры и бункеров в чистом состоянии.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На территории установлено 8 бункеров 16 контейнеров и 4 модульных контейнерных площадок. </w:t>
      </w:r>
    </w:p>
    <w:p>
      <w:pPr>
        <w:pStyle w:val="Normal"/>
        <w:spacing w:lineRule="auto" w:line="240" w:before="0" w:after="0"/>
        <w:ind w:firstLine="709"/>
        <w:jc w:val="both"/>
        <w:rPr>
          <w:rFonts w:ascii="Times New Roman" w:hAnsi="Times New Roman" w:eastAsia="Calibri" w:cs="Times New Roman"/>
          <w:color w:val="212121"/>
          <w:sz w:val="24"/>
          <w:szCs w:val="24"/>
          <w:shd w:fill="FFFFFF" w:val="clear"/>
        </w:rPr>
      </w:pPr>
      <w:r>
        <w:rPr>
          <w:rFonts w:eastAsia="Calibri" w:cs="Times New Roman" w:ascii="Times New Roman" w:hAnsi="Times New Roman"/>
          <w:color w:val="212121"/>
          <w:sz w:val="24"/>
          <w:szCs w:val="24"/>
          <w:shd w:fill="FFFFFF" w:val="clear"/>
        </w:rPr>
        <w:t>В течение 2025 года регулярно проводились субботники по благоустройству территории общественных мест, по уборке кладбищ (</w:t>
      </w:r>
      <w:r>
        <w:rPr>
          <w:rFonts w:eastAsia="Calibri" w:cs="Times New Roman" w:ascii="Times New Roman" w:hAnsi="Times New Roman"/>
          <w:sz w:val="24"/>
          <w:szCs w:val="24"/>
        </w:rPr>
        <w:t>вывоз мусора с удалением упавших деревьев).</w:t>
      </w:r>
      <w:r>
        <w:rPr>
          <w:rFonts w:eastAsia="Calibri" w:cs="Times New Roman" w:ascii="Times New Roman" w:hAnsi="Times New Roman"/>
          <w:color w:val="273350"/>
          <w:sz w:val="24"/>
          <w:szCs w:val="24"/>
        </w:rPr>
        <w:t xml:space="preserve"> </w:t>
      </w:r>
      <w:r>
        <w:rPr>
          <w:rFonts w:eastAsia="Calibri" w:cs="Times New Roman" w:ascii="Times New Roman" w:hAnsi="Times New Roman"/>
          <w:color w:val="212121"/>
          <w:sz w:val="24"/>
          <w:szCs w:val="24"/>
          <w:shd w:fill="FFFFFF" w:val="clear"/>
        </w:rPr>
        <w:t>Регулярно выкашивалась сорная растительность на территории сел, вдоль обочин дорог местного значения.</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color w:val="212121"/>
          <w:sz w:val="24"/>
          <w:szCs w:val="24"/>
          <w:shd w:fill="FFFFFF" w:val="clear"/>
        </w:rPr>
        <w:t xml:space="preserve">Проведены мероприятия по обработке территории препаратами против борщевика Сосновского и других сорняков. </w:t>
      </w:r>
      <w:r>
        <w:rPr>
          <w:rFonts w:eastAsia="Calibri" w:cs="Times New Roman" w:ascii="Times New Roman" w:hAnsi="Times New Roman"/>
          <w:color w:val="212121"/>
          <w:sz w:val="24"/>
          <w:szCs w:val="24"/>
        </w:rPr>
        <w:t>Одним из наиболее важных вопросов остается санитарное состояние. На территории сел сбор и вывоз коммунальных отходов осуществляется региональным оператором ООО «МСК-НТ». Вывозиться регулярно по графику.</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Выделена субсидия на реализацию мероприятий по обустройству и восстановлению памятных мест посвященных ВОВ 1941-1945 г. Отремонтирован памятник погибшим воинам ВОВ 1941-1945 г в с. Тенекаево</w:t>
      </w:r>
    </w:p>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 xml:space="preserve"> </w:t>
      </w:r>
    </w:p>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Культура</w:t>
      </w:r>
    </w:p>
    <w:p>
      <w:pPr>
        <w:pStyle w:val="Normal"/>
        <w:shd w:val="clear" w:color="auto" w:fill="FFFFFF"/>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Культуру Тенекаевского территориального отдела представляют 3 сельских клуба - Тенекаевский, Ждановский и Кисленский</w:t>
      </w:r>
    </w:p>
    <w:p>
      <w:pPr>
        <w:pStyle w:val="Normal"/>
        <w:shd w:val="clear" w:color="auto" w:fill="FFFFFF"/>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Основная цель клубов — привлечь жителей к проводимым мероприятиям. А самое главное – чтобы они стали активными участниками этих мероприятий. В 2025 году проведено множество мероприятий различной направленности: с детьми, подростками и молодёжью, по духовно-нравственному, патриотическому, семейному воспитанию, профилактике здорового образа жизни, безнадзорности, правонарушений и преступности.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hd w:val="clear" w:color="auto" w:fill="FFFFFF"/>
        <w:spacing w:lineRule="auto" w:line="276" w:before="0" w:after="0"/>
        <w:ind w:firstLine="567"/>
        <w:jc w:val="center"/>
        <w:rPr>
          <w:rFonts w:ascii="Times New Roman" w:hAnsi="Times New Roman" w:eastAsia="Calibri" w:cs="Times New Roman"/>
          <w:b/>
          <w:sz w:val="26"/>
          <w:szCs w:val="26"/>
        </w:rPr>
      </w:pPr>
      <w:r>
        <w:rPr>
          <w:rFonts w:eastAsia="Calibri" w:cs="Times New Roman" w:ascii="Times New Roman" w:hAnsi="Times New Roman"/>
          <w:b/>
          <w:sz w:val="26"/>
          <w:szCs w:val="26"/>
        </w:rPr>
        <w:t>Дорожная деятельность</w:t>
      </w:r>
    </w:p>
    <w:p>
      <w:pPr>
        <w:pStyle w:val="Normal"/>
        <w:shd w:val="clear" w:color="auto" w:fill="FFFFFF"/>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Важнейшей задачей Территориального отдела является поддержание должным образом дорожного хозяйства поселения. Какие бы финансовые трудности не стояли перед нами, этот вопрос всегда останется приоритетным. Общая протяжённость муниципальных дорог составляет 69,7 км. </w:t>
      </w:r>
    </w:p>
    <w:p>
      <w:pPr>
        <w:pStyle w:val="Normal"/>
        <w:spacing w:lineRule="auto" w:line="48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2025 г В рамках проекта инициативного бюджетирования «Вам решать!» был реализован проект «Ремонт участка автодороги ул. Новая от д. 12 до д. 20 в с. Тенекаево</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Выделены субсидии на капитальный ремонт автомобильной дороги местного значения, вклад минтранса и вклад со стороны местного бюджета муниципального образования в с. Княжиха ул. Полевая. </w:t>
      </w:r>
    </w:p>
    <w:p>
      <w:pPr>
        <w:pStyle w:val="Normal"/>
        <w:shd w:val="clear" w:color="auto" w:fill="FFFFFF"/>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Произведены ремонт участка автодороги с. Тенекаево по улице Новая от д. 21 до д. 14.</w:t>
      </w:r>
    </w:p>
    <w:p>
      <w:pPr>
        <w:pStyle w:val="Normal"/>
        <w:shd w:val="clear" w:color="auto" w:fill="FFFFFF"/>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Ремонт участка автомобильной дороги по пр. от ул Центральная до ул. Школьная с переходом на ул. Школьная от д. № 28 до д. №35 в с. Кисленка</w:t>
      </w:r>
    </w:p>
    <w:p>
      <w:pPr>
        <w:pStyle w:val="Normal"/>
        <w:shd w:val="clear" w:color="auto" w:fill="FFFFFF"/>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Ремонт участка автомобильной дороги по ул. Мира от д. 28 д д. 2 с Жданово</w:t>
      </w:r>
    </w:p>
    <w:p>
      <w:pPr>
        <w:pStyle w:val="Normal"/>
        <w:shd w:val="clear" w:color="auto" w:fill="FFFFFF"/>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Ремонт дороги к кладбищу с. Княжиха</w:t>
      </w:r>
    </w:p>
    <w:p>
      <w:pPr>
        <w:pStyle w:val="Normal"/>
        <w:shd w:val="clear" w:color="auto" w:fill="FFFFFF"/>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Проведена паспортизация дорог.</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Основная работа по содержанию дорожной сети проводилась в зимний период. Договор на расчистку дорог был заключен с ИП Антонян В.А. Дороги чистятся регулярно и своевременно. А в летний период проводился окашивание обочин дорог заключен контракт с И.П. Ратничихин С.В</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hd w:val="clear" w:color="auto" w:fill="FFFFFF"/>
        <w:spacing w:lineRule="auto" w:line="276" w:before="0" w:after="0"/>
        <w:jc w:val="center"/>
        <w:rPr>
          <w:rFonts w:ascii="Times New Roman" w:hAnsi="Times New Roman" w:eastAsia="Calibri" w:cs="Times New Roman"/>
          <w:b/>
          <w:sz w:val="26"/>
          <w:szCs w:val="26"/>
        </w:rPr>
      </w:pPr>
      <w:r>
        <w:rPr>
          <w:rFonts w:eastAsia="Calibri" w:cs="Times New Roman" w:ascii="Times New Roman" w:hAnsi="Times New Roman"/>
          <w:b/>
          <w:sz w:val="26"/>
          <w:szCs w:val="26"/>
        </w:rPr>
        <w:t xml:space="preserve">Социально-экономическое развитие </w:t>
      </w:r>
    </w:p>
    <w:p>
      <w:pPr>
        <w:pStyle w:val="Normal"/>
        <w:spacing w:lineRule="auto" w:line="276"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Численность населения территории, подведомственной Тенекаевскому территориальному отделу на 01.01.2026 г. – 1165 человека.  В 2025 году родилось 6 ребенка, умерло 26 человек. </w:t>
      </w:r>
    </w:p>
    <w:p>
      <w:pPr>
        <w:pStyle w:val="Normal"/>
        <w:shd w:val="clear" w:color="auto" w:fill="FFFFFF"/>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На подведомственной территории имеются все необходимые социально-культурные объекты -  это детский сад, </w:t>
      </w:r>
      <w:r>
        <w:rPr>
          <w:rFonts w:eastAsia="Times New Roman" w:cs="Times New Roman" w:ascii="Times New Roman" w:hAnsi="Times New Roman"/>
          <w:bCs/>
          <w:sz w:val="24"/>
          <w:szCs w:val="24"/>
          <w:lang w:eastAsia="ru-RU"/>
        </w:rPr>
        <w:t>ФАП в с. Жданово, в с. Тенекаево</w:t>
      </w:r>
      <w:r>
        <w:rPr>
          <w:rFonts w:eastAsia="Times New Roman" w:cs="Times New Roman" w:ascii="Times New Roman" w:hAnsi="Times New Roman"/>
          <w:sz w:val="24"/>
          <w:szCs w:val="24"/>
          <w:lang w:eastAsia="ru-RU"/>
        </w:rPr>
        <w:t>, в с. Княжиха, Тенекаевский СДК, Кисленский СДК, Ждановский СДК,</w:t>
      </w:r>
      <w:r>
        <w:rPr>
          <w:rFonts w:eastAsia="Times New Roman" w:cs="Times New Roman" w:ascii="Times New Roman" w:hAnsi="Times New Roman"/>
          <w:bCs/>
          <w:sz w:val="24"/>
          <w:szCs w:val="24"/>
          <w:lang w:eastAsia="ru-RU"/>
        </w:rPr>
        <w:t xml:space="preserve"> СПК «Красная гора»</w:t>
      </w:r>
      <w:r>
        <w:rPr>
          <w:rFonts w:eastAsia="Times New Roman" w:cs="Times New Roman" w:ascii="Times New Roman" w:hAnsi="Times New Roman"/>
          <w:sz w:val="24"/>
          <w:szCs w:val="24"/>
          <w:lang w:eastAsia="ru-RU"/>
        </w:rPr>
        <w:t xml:space="preserve">, ООО «Жданово-З, ИП Разбаков ВП, </w:t>
      </w:r>
      <w:r>
        <w:rPr>
          <w:rFonts w:eastAsia="Times New Roman" w:cs="Times New Roman" w:ascii="Times New Roman" w:hAnsi="Times New Roman"/>
          <w:bCs/>
          <w:sz w:val="24"/>
          <w:szCs w:val="24"/>
          <w:lang w:eastAsia="ru-RU"/>
        </w:rPr>
        <w:t xml:space="preserve">4 магазина Пильнинского Райпо, магазин ИП Разуваев А.В, магазин ИП Савелькина Е.С, магазин ИП ООО Шанс, магазин ИП Сиротов Е.И, магазин ИП Данилов В.А, 3 </w:t>
      </w:r>
      <w:r>
        <w:rPr>
          <w:rFonts w:eastAsia="Times New Roman" w:cs="Times New Roman" w:ascii="Times New Roman" w:hAnsi="Times New Roman"/>
          <w:sz w:val="24"/>
          <w:szCs w:val="24"/>
          <w:lang w:eastAsia="ru-RU"/>
        </w:rPr>
        <w:t>сельских</w:t>
      </w:r>
      <w:r>
        <w:rPr>
          <w:rFonts w:eastAsia="Times New Roman" w:cs="Times New Roman" w:ascii="Times New Roman" w:hAnsi="Times New Roman"/>
          <w:bCs/>
          <w:sz w:val="24"/>
          <w:szCs w:val="24"/>
          <w:lang w:eastAsia="ru-RU"/>
        </w:rPr>
        <w:t xml:space="preserve"> библиотеки, 2 отделения почты.</w:t>
      </w:r>
    </w:p>
    <w:p>
      <w:pPr>
        <w:pStyle w:val="Normal"/>
        <w:shd w:val="clear" w:color="auto" w:fill="FFFFFF"/>
        <w:spacing w:lineRule="auto" w:line="276" w:before="0" w:after="0"/>
        <w:jc w:val="both"/>
        <w:rPr>
          <w:rFonts w:ascii="Times New Roman" w:hAnsi="Times New Roman" w:eastAsia="Calibri" w:cs="Times New Roman"/>
          <w:sz w:val="24"/>
          <w:szCs w:val="24"/>
        </w:rPr>
      </w:pPr>
      <w:r>
        <w:rPr>
          <w:rFonts w:eastAsia="Calibri" w:cs="Times New Roman" w:ascii="Times New Roman" w:hAnsi="Times New Roman"/>
          <w:sz w:val="26"/>
          <w:szCs w:val="26"/>
        </w:rPr>
        <w:t xml:space="preserve">         </w:t>
      </w:r>
      <w:r>
        <w:rPr>
          <w:rFonts w:eastAsia="Calibri" w:cs="Times New Roman" w:ascii="Times New Roman" w:hAnsi="Times New Roman"/>
          <w:sz w:val="24"/>
          <w:szCs w:val="24"/>
        </w:rPr>
        <w:t xml:space="preserve">Основную роль в экономике сельсовета играет сельскохозяйственное предприятие: СПК «Красная гора», ООО «Жданово-З», ИП Разбаков ВП, где развито производство и имеются рабочие места. </w:t>
      </w:r>
    </w:p>
    <w:p>
      <w:pPr>
        <w:pStyle w:val="Normal"/>
        <w:shd w:val="clear" w:color="auto" w:fill="FFFFFF"/>
        <w:spacing w:lineRule="auto" w:line="276" w:before="0" w:after="0"/>
        <w:jc w:val="center"/>
        <w:rPr>
          <w:rFonts w:ascii="Times New Roman" w:hAnsi="Times New Roman" w:eastAsia="Calibri" w:cs="Times New Roman"/>
          <w:b/>
          <w:sz w:val="26"/>
          <w:szCs w:val="26"/>
        </w:rPr>
      </w:pPr>
      <w:r>
        <w:rPr/>
      </w:r>
    </w:p>
    <w:p>
      <w:pPr>
        <w:pStyle w:val="Normal"/>
        <w:shd w:val="clear" w:color="auto" w:fill="FFFFFF"/>
        <w:spacing w:lineRule="auto" w:line="276" w:before="0" w:after="0"/>
        <w:jc w:val="center"/>
        <w:rPr>
          <w:rFonts w:ascii="Times New Roman" w:hAnsi="Times New Roman" w:eastAsia="Calibri" w:cs="Times New Roman"/>
          <w:b/>
          <w:sz w:val="26"/>
          <w:szCs w:val="26"/>
        </w:rPr>
      </w:pPr>
      <w:r>
        <w:rPr/>
      </w:r>
    </w:p>
    <w:p>
      <w:pPr>
        <w:pStyle w:val="Normal"/>
        <w:shd w:val="clear" w:color="auto" w:fill="FFFFFF"/>
        <w:spacing w:lineRule="auto" w:line="276" w:before="0" w:after="0"/>
        <w:jc w:val="center"/>
        <w:rPr>
          <w:rFonts w:ascii="Times New Roman" w:hAnsi="Times New Roman" w:eastAsia="Calibri" w:cs="Times New Roman"/>
          <w:b/>
          <w:sz w:val="26"/>
          <w:szCs w:val="26"/>
        </w:rPr>
      </w:pPr>
      <w:r>
        <w:rPr>
          <w:rFonts w:eastAsia="Calibri" w:cs="Times New Roman" w:ascii="Times New Roman" w:hAnsi="Times New Roman"/>
          <w:b/>
          <w:sz w:val="26"/>
          <w:szCs w:val="26"/>
        </w:rPr>
        <w:t>Работа аппарата управления администрации</w:t>
      </w:r>
    </w:p>
    <w:p>
      <w:pPr>
        <w:pStyle w:val="Normal"/>
        <w:shd w:val="clear" w:color="auto" w:fill="FFFFFF"/>
        <w:spacing w:lineRule="auto" w:line="276"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Каждый специалист территориального отдела имеет должностные обязанности по своему направлению деятельности и полномочиям по решению вопросов местного значения.       </w:t>
      </w:r>
    </w:p>
    <w:p>
      <w:pPr>
        <w:pStyle w:val="Normal"/>
        <w:shd w:val="clear" w:color="auto" w:fill="FFFFFF"/>
        <w:spacing w:lineRule="auto" w:line="276"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В территориальном отделе установлен ежедневный приём граждан.</w:t>
      </w:r>
    </w:p>
    <w:p>
      <w:pPr>
        <w:pStyle w:val="Normal"/>
        <w:spacing w:lineRule="auto" w:line="276"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В течение 2025 года оказано множество муниципальных услуг - выдано </w:t>
      </w:r>
      <w:bookmarkStart w:id="1" w:name="_GoBack"/>
      <w:bookmarkEnd w:id="1"/>
      <w:r>
        <w:rPr>
          <w:rFonts w:eastAsia="Calibri" w:cs="Times New Roman" w:ascii="Times New Roman" w:hAnsi="Times New Roman"/>
          <w:sz w:val="24"/>
          <w:szCs w:val="24"/>
        </w:rPr>
        <w:t>571 справка, рассмотрены 16 письменных обращений и 1500 устных обращений граждан, в рамках нормотворческой деятельности вынесено 95 приказа.</w:t>
      </w:r>
    </w:p>
    <w:p>
      <w:pPr>
        <w:pStyle w:val="Normal"/>
        <w:shd w:val="clear" w:color="auto" w:fill="FFFFFF"/>
        <w:spacing w:lineRule="auto" w:line="276"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В территориальном отделе специалист по социальной работе, ведет учет всех льготников и оформляет их пособия. В течение года им оказано 168 срочные социальные услуги. </w:t>
      </w:r>
    </w:p>
    <w:p>
      <w:pPr>
        <w:pStyle w:val="NoSpacing"/>
        <w:jc w:val="center"/>
        <w:rPr>
          <w:rFonts w:ascii="Times New Roman" w:hAnsi="Times New Roman" w:cs="Times New Roman"/>
          <w:b/>
          <w:sz w:val="26"/>
          <w:szCs w:val="26"/>
        </w:rPr>
      </w:pPr>
      <w:r>
        <w:rPr>
          <w:rFonts w:cs="Times New Roman" w:ascii="Times New Roman" w:hAnsi="Times New Roman"/>
          <w:b/>
          <w:sz w:val="26"/>
          <w:szCs w:val="26"/>
        </w:rPr>
      </w:r>
    </w:p>
    <w:p>
      <w:pPr>
        <w:pStyle w:val="NoSpacing"/>
        <w:jc w:val="center"/>
        <w:rPr>
          <w:rFonts w:ascii="Times New Roman" w:hAnsi="Times New Roman" w:cs="Times New Roman"/>
          <w:b/>
          <w:sz w:val="26"/>
          <w:szCs w:val="26"/>
        </w:rPr>
      </w:pPr>
      <w:r>
        <w:rPr>
          <w:rFonts w:cs="Times New Roman" w:ascii="Times New Roman" w:hAnsi="Times New Roman"/>
          <w:b/>
          <w:sz w:val="26"/>
          <w:szCs w:val="26"/>
        </w:rPr>
        <w:t>Газификация и догазификация</w:t>
      </w:r>
    </w:p>
    <w:p>
      <w:pPr>
        <w:pStyle w:val="NoSpacing"/>
        <w:ind w:firstLine="708"/>
        <w:jc w:val="both"/>
        <w:rPr>
          <w:rFonts w:ascii="Times New Roman" w:hAnsi="Times New Roman" w:cs="Times New Roman"/>
          <w:sz w:val="24"/>
          <w:szCs w:val="24"/>
        </w:rPr>
      </w:pPr>
      <w:r>
        <w:rPr>
          <w:rFonts w:cs="Times New Roman" w:ascii="Times New Roman" w:hAnsi="Times New Roman"/>
          <w:sz w:val="24"/>
          <w:szCs w:val="24"/>
        </w:rPr>
        <w:t xml:space="preserve">На данный момент продолжается догазификация - это государственная программа, участвуя в которой владельцы частных домов, расположенных в газифицированных населенных пунктах, в которых уже проложены газовые сети, могут подвести сетевой газ к границам своих земельных участков бесплатно. </w:t>
      </w:r>
    </w:p>
    <w:p>
      <w:pPr>
        <w:pStyle w:val="NoSpacing"/>
        <w:ind w:firstLine="708"/>
        <w:jc w:val="both"/>
        <w:rPr>
          <w:rFonts w:ascii="Times New Roman" w:hAnsi="Times New Roman" w:cs="Times New Roman"/>
          <w:sz w:val="24"/>
          <w:szCs w:val="24"/>
        </w:rPr>
      </w:pPr>
      <w:r>
        <w:rPr>
          <w:rFonts w:cs="Times New Roman" w:ascii="Times New Roman" w:hAnsi="Times New Roman"/>
          <w:sz w:val="24"/>
          <w:szCs w:val="24"/>
        </w:rPr>
        <w:t>Граждане поселения активно принимают участия в данной программе. По данной Программе предоставляется, единовременная социальная выплата на компенсацию расходов, связанных с приобретением газоиспользующего оборудования, и (или) строительством внутреннего газопровода объекта индивидуального жилищного строительства (выплачивается УСЗН Пильнинского муниципального округа), по данному вопросу можно обращаться к специалисту по социальной работе.</w:t>
      </w:r>
    </w:p>
    <w:p>
      <w:pPr>
        <w:pStyle w:val="NoSpacing"/>
        <w:ind w:firstLine="708"/>
        <w:jc w:val="both"/>
        <w:rPr>
          <w:rFonts w:ascii="Times New Roman" w:hAnsi="Times New Roman" w:cs="Times New Roman"/>
          <w:sz w:val="24"/>
          <w:szCs w:val="24"/>
        </w:rPr>
      </w:pPr>
      <w:r>
        <w:rPr>
          <w:rFonts w:cs="Times New Roman" w:ascii="Times New Roman" w:hAnsi="Times New Roman"/>
          <w:sz w:val="24"/>
          <w:szCs w:val="24"/>
        </w:rPr>
        <w:t>В 2025 г. на территории Тенекаевского территориального отдела газифицирован общественно значимых объект здание Тенекаевского территориального отдела. Количество обращений граждан с оформлением недвижимости в связи с газификацией продолжается. Газифицировано 8 населенных пунктов около 650 домохозяйств.</w:t>
      </w:r>
    </w:p>
    <w:p>
      <w:pPr>
        <w:pStyle w:val="Normal"/>
        <w:spacing w:lineRule="auto" w:line="240" w:before="0" w:after="0"/>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r>
    </w:p>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Сведения о реализованных в 2025 году</w:t>
      </w:r>
    </w:p>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 xml:space="preserve">муниципальных программ, соисполнителем которых является </w:t>
      </w:r>
    </w:p>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 xml:space="preserve">Тенекаевский территориальный отдел </w:t>
      </w:r>
    </w:p>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bl>
      <w:tblPr>
        <w:tblW w:w="9781"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568"/>
        <w:gridCol w:w="5670"/>
        <w:gridCol w:w="2125"/>
        <w:gridCol w:w="1417"/>
      </w:tblGrid>
      <w:tr>
        <w:trPr>
          <w:trHeight w:val="978" w:hRule="atLeast"/>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w:t>
            </w:r>
          </w:p>
        </w:tc>
        <w:tc>
          <w:tcPr>
            <w:tcW w:w="567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Наименование программы</w:t>
            </w:r>
          </w:p>
        </w:tc>
        <w:tc>
          <w:tcPr>
            <w:tcW w:w="2125"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Сумма, предусмотренная на 2025 год,</w:t>
            </w:r>
          </w:p>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тыс. руб.</w:t>
            </w:r>
          </w:p>
        </w:tc>
        <w:tc>
          <w:tcPr>
            <w:tcW w:w="141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Исполнение,</w:t>
            </w:r>
          </w:p>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тыс. руб.</w:t>
            </w:r>
          </w:p>
        </w:tc>
      </w:tr>
    </w:tbl>
    <w:p>
      <w:pPr>
        <w:pStyle w:val="Normal"/>
        <w:spacing w:lineRule="auto" w:line="240" w:before="0" w:after="0"/>
        <w:rPr>
          <w:rFonts w:ascii="Calibri" w:hAnsi="Calibri" w:eastAsia="Calibri" w:cs="Calibri"/>
          <w:sz w:val="2"/>
          <w:szCs w:val="2"/>
        </w:rPr>
      </w:pPr>
      <w:r>
        <w:rPr>
          <w:rFonts w:eastAsia="Calibri" w:cs="Calibri"/>
          <w:sz w:val="2"/>
          <w:szCs w:val="2"/>
        </w:rPr>
      </w:r>
    </w:p>
    <w:tbl>
      <w:tblPr>
        <w:tblW w:w="9781"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568"/>
        <w:gridCol w:w="5670"/>
        <w:gridCol w:w="2125"/>
        <w:gridCol w:w="1417"/>
      </w:tblGrid>
      <w:tr>
        <w:trPr>
          <w:tblHeader w:val="true"/>
          <w:trHeight w:val="270" w:hRule="atLeast"/>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1</w:t>
            </w:r>
          </w:p>
        </w:tc>
        <w:tc>
          <w:tcPr>
            <w:tcW w:w="567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2</w:t>
            </w:r>
          </w:p>
        </w:tc>
        <w:tc>
          <w:tcPr>
            <w:tcW w:w="2125"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3</w:t>
            </w:r>
          </w:p>
        </w:tc>
        <w:tc>
          <w:tcPr>
            <w:tcW w:w="141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4</w:t>
            </w:r>
          </w:p>
        </w:tc>
      </w:tr>
      <w:tr>
        <w:trPr>
          <w:trHeight w:val="1305" w:hRule="atLeast"/>
        </w:trPr>
        <w:tc>
          <w:tcPr>
            <w:tcW w:w="56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w:t>
            </w:r>
          </w:p>
        </w:tc>
        <w:tc>
          <w:tcPr>
            <w:tcW w:w="5670"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2025-2027 годы»</w:t>
            </w:r>
          </w:p>
        </w:tc>
        <w:tc>
          <w:tcPr>
            <w:tcW w:w="2125"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4537,9</w:t>
            </w:r>
          </w:p>
        </w:tc>
        <w:tc>
          <w:tcPr>
            <w:tcW w:w="1417"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4527,7</w:t>
            </w:r>
          </w:p>
        </w:tc>
      </w:tr>
      <w:tr>
        <w:trPr>
          <w:trHeight w:val="847" w:hRule="atLeast"/>
        </w:trPr>
        <w:tc>
          <w:tcPr>
            <w:tcW w:w="56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w:t>
            </w:r>
          </w:p>
        </w:tc>
        <w:tc>
          <w:tcPr>
            <w:tcW w:w="5670"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Муниципальная программа «Комплексное развитие систем коммунальной инфраструктуры Пильнинского муниципального округа на 2023-2025 годы»</w:t>
            </w:r>
          </w:p>
        </w:tc>
        <w:tc>
          <w:tcPr>
            <w:tcW w:w="2125"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1433,6</w:t>
            </w:r>
          </w:p>
        </w:tc>
        <w:tc>
          <w:tcPr>
            <w:tcW w:w="1417"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1376,3</w:t>
            </w:r>
          </w:p>
        </w:tc>
      </w:tr>
      <w:tr>
        <w:trPr>
          <w:trHeight w:val="845" w:hRule="atLeast"/>
        </w:trPr>
        <w:tc>
          <w:tcPr>
            <w:tcW w:w="56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3</w:t>
            </w:r>
          </w:p>
        </w:tc>
        <w:tc>
          <w:tcPr>
            <w:tcW w:w="5670"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Муниципальная программа «Комплексное развитие систем коммунальной инфраструктуры Пильнинского муниципального округа на 2023-2025 годы»</w:t>
            </w:r>
          </w:p>
        </w:tc>
        <w:tc>
          <w:tcPr>
            <w:tcW w:w="2125"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1355,6</w:t>
            </w:r>
          </w:p>
        </w:tc>
        <w:tc>
          <w:tcPr>
            <w:tcW w:w="1417"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1350,4</w:t>
            </w:r>
          </w:p>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r>
      <w:tr>
        <w:trPr>
          <w:trHeight w:val="813" w:hRule="atLeast"/>
        </w:trPr>
        <w:tc>
          <w:tcPr>
            <w:tcW w:w="56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4</w:t>
            </w:r>
          </w:p>
        </w:tc>
        <w:tc>
          <w:tcPr>
            <w:tcW w:w="5670"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Муниципальная программа «Комплексное развитие систем коммунальной инфраструктуры Пильнинского муниципального округа на 2023-2025 годы»</w:t>
            </w:r>
          </w:p>
        </w:tc>
        <w:tc>
          <w:tcPr>
            <w:tcW w:w="2125"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13436,3</w:t>
            </w:r>
          </w:p>
        </w:tc>
        <w:tc>
          <w:tcPr>
            <w:tcW w:w="1417"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12604,2</w:t>
            </w:r>
          </w:p>
        </w:tc>
      </w:tr>
      <w:tr>
        <w:trPr>
          <w:trHeight w:val="583" w:hRule="atLeast"/>
        </w:trPr>
        <w:tc>
          <w:tcPr>
            <w:tcW w:w="56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5</w:t>
            </w:r>
          </w:p>
        </w:tc>
        <w:tc>
          <w:tcPr>
            <w:tcW w:w="5670"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bCs/>
                <w:sz w:val="20"/>
                <w:szCs w:val="20"/>
              </w:rPr>
              <w:t>Муниципальная программа «Развитие культуры Пильнинского округа Нижегородской области на 2023-2025 годы»</w:t>
            </w:r>
          </w:p>
        </w:tc>
        <w:tc>
          <w:tcPr>
            <w:tcW w:w="2125"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2981,7</w:t>
            </w:r>
          </w:p>
        </w:tc>
        <w:tc>
          <w:tcPr>
            <w:tcW w:w="1417"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2956,8</w:t>
            </w:r>
          </w:p>
        </w:tc>
      </w:tr>
    </w:tbl>
    <w:p>
      <w:pPr>
        <w:pStyle w:val="Normal"/>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tabs>
          <w:tab w:val="clear" w:pos="708"/>
          <w:tab w:val="center" w:pos="5046" w:leader="none"/>
          <w:tab w:val="left" w:pos="8184" w:leader="none"/>
        </w:tabs>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Муниципальный финансовый контроль</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В 2025 году проводились внешние контрольные мероприятия контрольно-счетной комиссией Пильнинского муниципального округа по проверке годовой отчётности за 2024 г. (заключение от 15.04.2025 г.). </w:t>
      </w:r>
    </w:p>
    <w:p>
      <w:pPr>
        <w:pStyle w:val="Normal"/>
        <w:spacing w:lineRule="auto" w:line="240" w:before="0" w:after="0"/>
        <w:jc w:val="center"/>
        <w:rPr>
          <w:rFonts w:ascii="Times New Roman" w:hAnsi="Times New Roman" w:eastAsia="Calibri" w:cs="Times New Roman"/>
          <w:b/>
          <w:sz w:val="26"/>
          <w:szCs w:val="26"/>
        </w:rPr>
      </w:pPr>
      <w:r>
        <w:rPr>
          <w:rFonts w:eastAsia="Calibri" w:cs="Times New Roman" w:ascii="Times New Roman" w:hAnsi="Times New Roman"/>
          <w:b/>
          <w:sz w:val="26"/>
          <w:szCs w:val="26"/>
        </w:rPr>
        <w:t xml:space="preserve">Выполнение муниципальных программ  </w:t>
      </w:r>
    </w:p>
    <w:p>
      <w:pPr>
        <w:pStyle w:val="Normal"/>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t>Тенекаевского территориального отдела администрации Пильнинского муниципального округа Нижегородской области</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Информация о расходах на реализацию муниципальной программы</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соисполнителем которых является Тенекаевский территориальный отдел</w:t>
      </w:r>
    </w:p>
    <w:p>
      <w:pPr>
        <w:pStyle w:val="Normal"/>
        <w:widowControl w:val="false"/>
        <w:spacing w:lineRule="auto" w:line="240" w:before="0" w:after="0"/>
        <w:jc w:val="center"/>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bl>
      <w:tblPr>
        <w:tblW w:w="104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55"/>
        <w:gridCol w:w="2268"/>
        <w:gridCol w:w="2694"/>
        <w:gridCol w:w="840"/>
        <w:gridCol w:w="1428"/>
      </w:tblGrid>
      <w:tr>
        <w:trPr/>
        <w:tc>
          <w:tcPr>
            <w:tcW w:w="3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Статус и наименование</w:t>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Соисполнитель</w:t>
            </w:r>
          </w:p>
        </w:tc>
        <w:tc>
          <w:tcPr>
            <w:tcW w:w="26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Источники ресурсного</w:t>
            </w:r>
          </w:p>
          <w:p>
            <w:pPr>
              <w:pStyle w:val="Normal"/>
              <w:widowControl w:val="false"/>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обеспечения</w:t>
            </w:r>
          </w:p>
        </w:tc>
        <w:tc>
          <w:tcPr>
            <w:tcW w:w="8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План</w:t>
            </w:r>
          </w:p>
          <w:p>
            <w:pPr>
              <w:pStyle w:val="Normal"/>
              <w:widowControl w:val="false"/>
              <w:spacing w:lineRule="auto" w:line="240" w:before="0" w:after="0"/>
              <w:jc w:val="center"/>
              <w:rPr>
                <w:rFonts w:ascii="Times New Roman" w:hAnsi="Times New Roman" w:eastAsia="Calibri" w:cs="Times New Roman"/>
                <w:b/>
                <w:sz w:val="20"/>
                <w:szCs w:val="20"/>
              </w:rPr>
            </w:pPr>
            <w:hyperlink w:anchor="Par319">
              <w:r>
                <w:rPr>
                  <w:rFonts w:eastAsia="Calibri" w:cs="Times New Roman" w:ascii="Times New Roman" w:hAnsi="Times New Roman"/>
                  <w:b/>
                  <w:sz w:val="20"/>
                  <w:szCs w:val="20"/>
                </w:rPr>
                <w:t>&lt;*&gt;</w:t>
              </w:r>
            </w:hyperlink>
          </w:p>
        </w:tc>
        <w:tc>
          <w:tcPr>
            <w:tcW w:w="14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Фактические</w:t>
            </w:r>
          </w:p>
          <w:p>
            <w:pPr>
              <w:pStyle w:val="Normal"/>
              <w:widowControl w:val="false"/>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расходы</w:t>
            </w:r>
          </w:p>
          <w:p>
            <w:pPr>
              <w:pStyle w:val="Normal"/>
              <w:widowControl w:val="false"/>
              <w:spacing w:lineRule="auto" w:line="240" w:before="0" w:after="0"/>
              <w:jc w:val="center"/>
              <w:rPr>
                <w:rFonts w:ascii="Times New Roman" w:hAnsi="Times New Roman" w:eastAsia="Calibri" w:cs="Times New Roman"/>
                <w:b/>
                <w:sz w:val="20"/>
                <w:szCs w:val="20"/>
              </w:rPr>
            </w:pPr>
            <w:hyperlink w:anchor="Par320">
              <w:r>
                <w:rPr>
                  <w:rFonts w:eastAsia="Calibri" w:cs="Times New Roman" w:ascii="Times New Roman" w:hAnsi="Times New Roman"/>
                  <w:b/>
                  <w:sz w:val="20"/>
                  <w:szCs w:val="20"/>
                </w:rPr>
                <w:t>&lt;**&gt;</w:t>
              </w:r>
            </w:hyperlink>
          </w:p>
        </w:tc>
      </w:tr>
    </w:tbl>
    <w:p>
      <w:pPr>
        <w:pStyle w:val="Normal"/>
        <w:spacing w:lineRule="auto" w:line="240" w:before="0" w:after="0"/>
        <w:rPr>
          <w:rFonts w:ascii="Calibri" w:hAnsi="Calibri" w:eastAsia="Calibri" w:cs="Calibri"/>
          <w:sz w:val="2"/>
          <w:szCs w:val="2"/>
        </w:rPr>
      </w:pPr>
      <w:r>
        <w:rPr>
          <w:rFonts w:eastAsia="Calibri" w:cs="Calibri"/>
          <w:sz w:val="2"/>
          <w:szCs w:val="2"/>
        </w:rPr>
      </w:r>
    </w:p>
    <w:tbl>
      <w:tblPr>
        <w:tblW w:w="1046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55"/>
        <w:gridCol w:w="2247"/>
        <w:gridCol w:w="2688"/>
        <w:gridCol w:w="866"/>
        <w:gridCol w:w="1413"/>
      </w:tblGrid>
      <w:tr>
        <w:trPr>
          <w:tblHeader w:val="true"/>
        </w:trPr>
        <w:tc>
          <w:tcPr>
            <w:tcW w:w="3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14"/>
                <w:szCs w:val="14"/>
              </w:rPr>
            </w:pPr>
            <w:r>
              <w:rPr>
                <w:rFonts w:eastAsia="Calibri" w:cs="Times New Roman" w:ascii="Times New Roman" w:hAnsi="Times New Roman"/>
                <w:b/>
                <w:sz w:val="14"/>
                <w:szCs w:val="14"/>
              </w:rPr>
              <w:t>1</w:t>
            </w:r>
          </w:p>
        </w:tc>
        <w:tc>
          <w:tcPr>
            <w:tcW w:w="2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14"/>
                <w:szCs w:val="14"/>
              </w:rPr>
            </w:pPr>
            <w:r>
              <w:rPr>
                <w:rFonts w:eastAsia="Calibri" w:cs="Times New Roman" w:ascii="Times New Roman" w:hAnsi="Times New Roman"/>
                <w:b/>
                <w:sz w:val="14"/>
                <w:szCs w:val="14"/>
              </w:rPr>
              <w:t>2</w:t>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14"/>
                <w:szCs w:val="14"/>
              </w:rPr>
            </w:pPr>
            <w:r>
              <w:rPr>
                <w:rFonts w:eastAsia="Calibri" w:cs="Times New Roman" w:ascii="Times New Roman" w:hAnsi="Times New Roman"/>
                <w:b/>
                <w:sz w:val="14"/>
                <w:szCs w:val="14"/>
              </w:rPr>
              <w:t>3</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14"/>
                <w:szCs w:val="14"/>
              </w:rPr>
            </w:pPr>
            <w:r>
              <w:rPr>
                <w:rFonts w:eastAsia="Calibri" w:cs="Times New Roman" w:ascii="Times New Roman" w:hAnsi="Times New Roman"/>
                <w:b/>
                <w:sz w:val="14"/>
                <w:szCs w:val="14"/>
              </w:rPr>
              <w:t>4</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14"/>
                <w:szCs w:val="14"/>
              </w:rPr>
            </w:pPr>
            <w:r>
              <w:rPr>
                <w:rFonts w:eastAsia="Calibri" w:cs="Times New Roman" w:ascii="Times New Roman" w:hAnsi="Times New Roman"/>
                <w:b/>
                <w:sz w:val="14"/>
                <w:szCs w:val="14"/>
              </w:rPr>
              <w:t>5</w:t>
            </w:r>
          </w:p>
        </w:tc>
      </w:tr>
      <w:tr>
        <w:trPr/>
        <w:tc>
          <w:tcPr>
            <w:tcW w:w="325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Наименование муниципальной программы</w:t>
            </w:r>
          </w:p>
        </w:tc>
        <w:tc>
          <w:tcPr>
            <w:tcW w:w="224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Тенекаевский территориальный отдел администрации Пильнинского муниципального округа Нижегородской области</w:t>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 xml:space="preserve">Всего </w:t>
            </w:r>
            <w:hyperlink w:anchor="Par294">
              <w:r>
                <w:rPr>
                  <w:rFonts w:eastAsia="Calibri" w:cs="Times New Roman" w:ascii="Times New Roman" w:hAnsi="Times New Roman"/>
                  <w:b/>
                  <w:sz w:val="20"/>
                  <w:szCs w:val="20"/>
                </w:rPr>
                <w:t>(1)</w:t>
              </w:r>
            </w:hyperlink>
            <w:r>
              <w:rPr>
                <w:rFonts w:eastAsia="Calibri" w:cs="Times New Roman" w:ascii="Times New Roman" w:hAnsi="Times New Roman"/>
                <w:b/>
                <w:sz w:val="20"/>
                <w:szCs w:val="20"/>
              </w:rPr>
              <w:t xml:space="preserve"> + </w:t>
            </w:r>
            <w:hyperlink w:anchor="Par298">
              <w:r>
                <w:rPr>
                  <w:rFonts w:eastAsia="Calibri" w:cs="Times New Roman" w:ascii="Times New Roman" w:hAnsi="Times New Roman"/>
                  <w:b/>
                  <w:sz w:val="20"/>
                  <w:szCs w:val="20"/>
                </w:rPr>
                <w:t>(2)</w:t>
              </w:r>
            </w:hyperlink>
            <w:r>
              <w:rPr>
                <w:rFonts w:eastAsia="Calibri" w:cs="Times New Roman" w:ascii="Times New Roman" w:hAnsi="Times New Roman"/>
                <w:b/>
                <w:sz w:val="20"/>
                <w:szCs w:val="20"/>
              </w:rPr>
              <w:t xml:space="preserve"> + </w:t>
            </w:r>
            <w:hyperlink w:anchor="Par301">
              <w:r>
                <w:rPr>
                  <w:rFonts w:eastAsia="Calibri" w:cs="Times New Roman" w:ascii="Times New Roman" w:hAnsi="Times New Roman"/>
                  <w:b/>
                  <w:sz w:val="20"/>
                  <w:szCs w:val="20"/>
                </w:rPr>
                <w:t>(3)</w:t>
              </w:r>
            </w:hyperlink>
            <w:r>
              <w:rPr>
                <w:rFonts w:eastAsia="Calibri" w:cs="Times New Roman" w:ascii="Times New Roman" w:hAnsi="Times New Roman"/>
                <w:b/>
                <w:sz w:val="20"/>
                <w:szCs w:val="20"/>
              </w:rPr>
              <w:t xml:space="preserve"> + </w:t>
            </w:r>
            <w:hyperlink w:anchor="Par304">
              <w:r>
                <w:rPr>
                  <w:rFonts w:eastAsia="Calibri" w:cs="Times New Roman" w:ascii="Times New Roman" w:hAnsi="Times New Roman"/>
                  <w:b/>
                  <w:sz w:val="20"/>
                  <w:szCs w:val="20"/>
                </w:rPr>
                <w:t>(4)</w:t>
              </w:r>
            </w:hyperlink>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23745,2</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22815,3</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федеральный бюджет</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областной бюджет</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местный бюджет</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23745,2</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22815,3</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прочие источники</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r>
      <w:tr>
        <w:trPr/>
        <w:tc>
          <w:tcPr>
            <w:tcW w:w="325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6"/>
              </w:numPr>
              <w:spacing w:lineRule="auto" w:line="240" w:before="0" w:after="0"/>
              <w:rPr>
                <w:rFonts w:ascii="Times New Roman" w:hAnsi="Times New Roman" w:eastAsia="Calibri" w:cs="Times New Roman"/>
                <w:i/>
                <w:i/>
                <w:sz w:val="20"/>
                <w:szCs w:val="20"/>
              </w:rPr>
            </w:pPr>
            <w:r>
              <w:rPr>
                <w:rFonts w:eastAsia="Calibri" w:cs="Times New Roman" w:ascii="Times New Roman" w:hAnsi="Times New Roman"/>
                <w:sz w:val="20"/>
                <w:szCs w:val="20"/>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2023-2025 годы»</w:t>
            </w:r>
          </w:p>
        </w:tc>
        <w:tc>
          <w:tcPr>
            <w:tcW w:w="224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 xml:space="preserve">Тенекаевский территориальный отдел администрации Пильнинского муниципального округа Нижегородской области </w:t>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
                <w:sz w:val="20"/>
                <w:szCs w:val="20"/>
              </w:rPr>
            </w:pPr>
            <w:r>
              <w:rPr>
                <w:rFonts w:eastAsia="Calibri" w:cs="Times New Roman" w:ascii="Times New Roman" w:hAnsi="Times New Roman"/>
                <w:b/>
                <w:sz w:val="20"/>
                <w:szCs w:val="20"/>
              </w:rPr>
              <w:t xml:space="preserve">Всего </w:t>
            </w:r>
            <w:hyperlink w:anchor="Par294">
              <w:r>
                <w:rPr>
                  <w:rFonts w:eastAsia="Calibri" w:cs="Times New Roman" w:ascii="Times New Roman" w:hAnsi="Times New Roman"/>
                  <w:b/>
                  <w:sz w:val="20"/>
                  <w:szCs w:val="20"/>
                </w:rPr>
                <w:t>(1)</w:t>
              </w:r>
            </w:hyperlink>
            <w:r>
              <w:rPr>
                <w:rFonts w:eastAsia="Calibri" w:cs="Times New Roman" w:ascii="Times New Roman" w:hAnsi="Times New Roman"/>
                <w:b/>
                <w:sz w:val="20"/>
                <w:szCs w:val="20"/>
              </w:rPr>
              <w:t xml:space="preserve"> + </w:t>
            </w:r>
            <w:hyperlink w:anchor="Par298">
              <w:r>
                <w:rPr>
                  <w:rFonts w:eastAsia="Calibri" w:cs="Times New Roman" w:ascii="Times New Roman" w:hAnsi="Times New Roman"/>
                  <w:b/>
                  <w:sz w:val="20"/>
                  <w:szCs w:val="20"/>
                </w:rPr>
                <w:t>(2)</w:t>
              </w:r>
            </w:hyperlink>
            <w:r>
              <w:rPr>
                <w:rFonts w:eastAsia="Calibri" w:cs="Times New Roman" w:ascii="Times New Roman" w:hAnsi="Times New Roman"/>
                <w:b/>
                <w:sz w:val="20"/>
                <w:szCs w:val="20"/>
              </w:rPr>
              <w:t xml:space="preserve"> + </w:t>
            </w:r>
            <w:hyperlink w:anchor="Par301">
              <w:r>
                <w:rPr>
                  <w:rFonts w:eastAsia="Calibri" w:cs="Times New Roman" w:ascii="Times New Roman" w:hAnsi="Times New Roman"/>
                  <w:b/>
                  <w:sz w:val="20"/>
                  <w:szCs w:val="20"/>
                </w:rPr>
                <w:t>(3)</w:t>
              </w:r>
            </w:hyperlink>
            <w:r>
              <w:rPr>
                <w:rFonts w:eastAsia="Calibri" w:cs="Times New Roman" w:ascii="Times New Roman" w:hAnsi="Times New Roman"/>
                <w:b/>
                <w:sz w:val="20"/>
                <w:szCs w:val="20"/>
              </w:rPr>
              <w:t xml:space="preserve"> + </w:t>
            </w:r>
            <w:hyperlink w:anchor="Par304">
              <w:r>
                <w:rPr>
                  <w:rFonts w:eastAsia="Calibri" w:cs="Times New Roman" w:ascii="Times New Roman" w:hAnsi="Times New Roman"/>
                  <w:b/>
                  <w:sz w:val="20"/>
                  <w:szCs w:val="20"/>
                </w:rPr>
                <w:t>(4)</w:t>
              </w:r>
            </w:hyperlink>
          </w:p>
        </w:tc>
        <w:tc>
          <w:tcPr>
            <w:tcW w:w="86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4537,9</w:t>
            </w:r>
          </w:p>
        </w:tc>
        <w:tc>
          <w:tcPr>
            <w:tcW w:w="1413"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4527,7</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i/>
                <w:i/>
                <w:sz w:val="20"/>
                <w:szCs w:val="20"/>
              </w:rPr>
            </w:pPr>
            <w:r>
              <w:rPr>
                <w:rFonts w:eastAsia="Calibri" w:cs="Times New Roman" w:ascii="Times New Roman" w:hAnsi="Times New Roman"/>
                <w:i/>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федеральный бюджет</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i/>
                <w:i/>
                <w:sz w:val="20"/>
                <w:szCs w:val="20"/>
              </w:rPr>
            </w:pPr>
            <w:r>
              <w:rPr>
                <w:rFonts w:eastAsia="Calibri" w:cs="Times New Roman" w:ascii="Times New Roman" w:hAnsi="Times New Roman"/>
                <w:i/>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областной бюджет</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i/>
                <w:i/>
                <w:sz w:val="20"/>
                <w:szCs w:val="20"/>
              </w:rPr>
            </w:pPr>
            <w:r>
              <w:rPr>
                <w:rFonts w:eastAsia="Calibri" w:cs="Times New Roman" w:ascii="Times New Roman" w:hAnsi="Times New Roman"/>
                <w:i/>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 xml:space="preserve">местный бюджет </w:t>
            </w:r>
          </w:p>
        </w:tc>
        <w:tc>
          <w:tcPr>
            <w:tcW w:w="86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4537,9</w:t>
            </w:r>
          </w:p>
        </w:tc>
        <w:tc>
          <w:tcPr>
            <w:tcW w:w="1413"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4527,7</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i/>
                <w:i/>
                <w:sz w:val="20"/>
                <w:szCs w:val="20"/>
              </w:rPr>
            </w:pPr>
            <w:r>
              <w:rPr>
                <w:rFonts w:eastAsia="Calibri" w:cs="Times New Roman" w:ascii="Times New Roman" w:hAnsi="Times New Roman"/>
                <w:i/>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прочие источники</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r>
      <w:tr>
        <w:trPr/>
        <w:tc>
          <w:tcPr>
            <w:tcW w:w="325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6"/>
              </w:numPr>
              <w:spacing w:lineRule="auto" w:line="240" w:before="0" w:after="0"/>
              <w:rPr>
                <w:rFonts w:ascii="Times New Roman" w:hAnsi="Times New Roman" w:eastAsia="Calibri" w:cs="Times New Roman"/>
                <w:i/>
                <w:i/>
                <w:sz w:val="20"/>
                <w:szCs w:val="20"/>
              </w:rPr>
            </w:pPr>
            <w:r>
              <w:rPr>
                <w:rFonts w:eastAsia="Calibri" w:cs="Times New Roman" w:ascii="Times New Roman" w:hAnsi="Times New Roman"/>
                <w:sz w:val="20"/>
                <w:szCs w:val="20"/>
              </w:rPr>
              <w:t>Муниципальная программа «Комплексное развитие систем коммунальной инфраструктуры Пильнинского муниципального округа на 2023-2025 годы» Дорожное хозяйство (дорожные фонды)</w:t>
            </w:r>
          </w:p>
        </w:tc>
        <w:tc>
          <w:tcPr>
            <w:tcW w:w="224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Тенекаевский территориальный отдел администрации Пильнинского муниципального округа Нижегородской области</w:t>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
                <w:sz w:val="20"/>
                <w:szCs w:val="20"/>
              </w:rPr>
            </w:pPr>
            <w:r>
              <w:rPr>
                <w:rFonts w:eastAsia="Calibri" w:cs="Times New Roman" w:ascii="Times New Roman" w:hAnsi="Times New Roman"/>
                <w:b/>
                <w:sz w:val="20"/>
                <w:szCs w:val="20"/>
              </w:rPr>
              <w:t xml:space="preserve">Всего </w:t>
            </w:r>
            <w:hyperlink w:anchor="Par294">
              <w:r>
                <w:rPr>
                  <w:rFonts w:eastAsia="Calibri" w:cs="Times New Roman" w:ascii="Times New Roman" w:hAnsi="Times New Roman"/>
                  <w:b/>
                  <w:sz w:val="20"/>
                  <w:szCs w:val="20"/>
                </w:rPr>
                <w:t>(1)</w:t>
              </w:r>
            </w:hyperlink>
            <w:r>
              <w:rPr>
                <w:rFonts w:eastAsia="Calibri" w:cs="Times New Roman" w:ascii="Times New Roman" w:hAnsi="Times New Roman"/>
                <w:b/>
                <w:sz w:val="20"/>
                <w:szCs w:val="20"/>
              </w:rPr>
              <w:t xml:space="preserve"> + </w:t>
            </w:r>
            <w:hyperlink w:anchor="Par298">
              <w:r>
                <w:rPr>
                  <w:rFonts w:eastAsia="Calibri" w:cs="Times New Roman" w:ascii="Times New Roman" w:hAnsi="Times New Roman"/>
                  <w:b/>
                  <w:sz w:val="20"/>
                  <w:szCs w:val="20"/>
                </w:rPr>
                <w:t>(2)</w:t>
              </w:r>
            </w:hyperlink>
            <w:r>
              <w:rPr>
                <w:rFonts w:eastAsia="Calibri" w:cs="Times New Roman" w:ascii="Times New Roman" w:hAnsi="Times New Roman"/>
                <w:b/>
                <w:sz w:val="20"/>
                <w:szCs w:val="20"/>
              </w:rPr>
              <w:t xml:space="preserve"> + </w:t>
            </w:r>
            <w:hyperlink w:anchor="Par301">
              <w:r>
                <w:rPr>
                  <w:rFonts w:eastAsia="Calibri" w:cs="Times New Roman" w:ascii="Times New Roman" w:hAnsi="Times New Roman"/>
                  <w:b/>
                  <w:sz w:val="20"/>
                  <w:szCs w:val="20"/>
                </w:rPr>
                <w:t>(3)</w:t>
              </w:r>
            </w:hyperlink>
            <w:r>
              <w:rPr>
                <w:rFonts w:eastAsia="Calibri" w:cs="Times New Roman" w:ascii="Times New Roman" w:hAnsi="Times New Roman"/>
                <w:b/>
                <w:sz w:val="20"/>
                <w:szCs w:val="20"/>
              </w:rPr>
              <w:t xml:space="preserve"> + </w:t>
            </w:r>
            <w:hyperlink w:anchor="Par304">
              <w:r>
                <w:rPr>
                  <w:rFonts w:eastAsia="Calibri" w:cs="Times New Roman" w:ascii="Times New Roman" w:hAnsi="Times New Roman"/>
                  <w:b/>
                  <w:sz w:val="20"/>
                  <w:szCs w:val="20"/>
                </w:rPr>
                <w:t>(4)</w:t>
              </w:r>
            </w:hyperlink>
          </w:p>
        </w:tc>
        <w:tc>
          <w:tcPr>
            <w:tcW w:w="86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2004,6</w:t>
            </w:r>
          </w:p>
        </w:tc>
        <w:tc>
          <w:tcPr>
            <w:tcW w:w="1413"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1459,6</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федеральный бюджет</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областной бюджет</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 xml:space="preserve">местный бюджет </w:t>
            </w:r>
          </w:p>
        </w:tc>
        <w:tc>
          <w:tcPr>
            <w:tcW w:w="86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2004,6</w:t>
            </w:r>
          </w:p>
        </w:tc>
        <w:tc>
          <w:tcPr>
            <w:tcW w:w="1413"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1459,6</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прочие источники</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r>
      <w:tr>
        <w:trPr/>
        <w:tc>
          <w:tcPr>
            <w:tcW w:w="325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6"/>
              </w:numPr>
              <w:spacing w:lineRule="auto" w:line="240" w:before="0" w:after="0"/>
              <w:rPr>
                <w:rFonts w:ascii="Times New Roman" w:hAnsi="Times New Roman" w:eastAsia="Calibri" w:cs="Times New Roman"/>
                <w:i/>
                <w:i/>
                <w:sz w:val="20"/>
                <w:szCs w:val="20"/>
              </w:rPr>
            </w:pPr>
            <w:r>
              <w:rPr>
                <w:rFonts w:eastAsia="Calibri" w:cs="Times New Roman" w:ascii="Times New Roman" w:hAnsi="Times New Roman"/>
                <w:sz w:val="20"/>
                <w:szCs w:val="20"/>
              </w:rPr>
              <w:t>Муниципальная программа «Комплексное развитие систем коммунальной инфраструктуры Пильнинского муниципального округа на 2023-2025 годы» Дорожное хозяйство (дорожные фонды)</w:t>
            </w:r>
          </w:p>
        </w:tc>
        <w:tc>
          <w:tcPr>
            <w:tcW w:w="224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Тенекаевский территориальный отдел администрации Пильнинского муниципального округа Нижегородской области</w:t>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
                <w:sz w:val="20"/>
                <w:szCs w:val="20"/>
              </w:rPr>
            </w:pPr>
            <w:r>
              <w:rPr>
                <w:rFonts w:eastAsia="Calibri" w:cs="Times New Roman" w:ascii="Times New Roman" w:hAnsi="Times New Roman"/>
                <w:b/>
                <w:sz w:val="20"/>
                <w:szCs w:val="20"/>
              </w:rPr>
              <w:t xml:space="preserve">Всего </w:t>
            </w:r>
            <w:hyperlink w:anchor="Par294">
              <w:r>
                <w:rPr>
                  <w:rFonts w:eastAsia="Calibri" w:cs="Times New Roman" w:ascii="Times New Roman" w:hAnsi="Times New Roman"/>
                  <w:b/>
                  <w:sz w:val="20"/>
                  <w:szCs w:val="20"/>
                </w:rPr>
                <w:t>(1)</w:t>
              </w:r>
            </w:hyperlink>
            <w:r>
              <w:rPr>
                <w:rFonts w:eastAsia="Calibri" w:cs="Times New Roman" w:ascii="Times New Roman" w:hAnsi="Times New Roman"/>
                <w:b/>
                <w:sz w:val="20"/>
                <w:szCs w:val="20"/>
              </w:rPr>
              <w:t xml:space="preserve"> + </w:t>
            </w:r>
            <w:hyperlink w:anchor="Par298">
              <w:r>
                <w:rPr>
                  <w:rFonts w:eastAsia="Calibri" w:cs="Times New Roman" w:ascii="Times New Roman" w:hAnsi="Times New Roman"/>
                  <w:b/>
                  <w:sz w:val="20"/>
                  <w:szCs w:val="20"/>
                </w:rPr>
                <w:t>(2)</w:t>
              </w:r>
            </w:hyperlink>
            <w:r>
              <w:rPr>
                <w:rFonts w:eastAsia="Calibri" w:cs="Times New Roman" w:ascii="Times New Roman" w:hAnsi="Times New Roman"/>
                <w:b/>
                <w:sz w:val="20"/>
                <w:szCs w:val="20"/>
              </w:rPr>
              <w:t xml:space="preserve"> + </w:t>
            </w:r>
            <w:hyperlink w:anchor="Par301">
              <w:r>
                <w:rPr>
                  <w:rFonts w:eastAsia="Calibri" w:cs="Times New Roman" w:ascii="Times New Roman" w:hAnsi="Times New Roman"/>
                  <w:b/>
                  <w:sz w:val="20"/>
                  <w:szCs w:val="20"/>
                </w:rPr>
                <w:t>(3)</w:t>
              </w:r>
            </w:hyperlink>
            <w:r>
              <w:rPr>
                <w:rFonts w:eastAsia="Calibri" w:cs="Times New Roman" w:ascii="Times New Roman" w:hAnsi="Times New Roman"/>
                <w:b/>
                <w:sz w:val="20"/>
                <w:szCs w:val="20"/>
              </w:rPr>
              <w:t xml:space="preserve"> + </w:t>
            </w:r>
            <w:hyperlink w:anchor="Par304">
              <w:r>
                <w:rPr>
                  <w:rFonts w:eastAsia="Calibri" w:cs="Times New Roman" w:ascii="Times New Roman" w:hAnsi="Times New Roman"/>
                  <w:b/>
                  <w:sz w:val="20"/>
                  <w:szCs w:val="20"/>
                </w:rPr>
                <w:t>(4)</w:t>
              </w:r>
            </w:hyperlink>
          </w:p>
        </w:tc>
        <w:tc>
          <w:tcPr>
            <w:tcW w:w="86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11431,7</w:t>
            </w:r>
          </w:p>
        </w:tc>
        <w:tc>
          <w:tcPr>
            <w:tcW w:w="1413"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11144,6</w:t>
            </w:r>
          </w:p>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 xml:space="preserve">федеральный бюджет     </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областной бюджет</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5604,6</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5586,7</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 xml:space="preserve">местный бюджет         </w:t>
            </w:r>
          </w:p>
        </w:tc>
        <w:tc>
          <w:tcPr>
            <w:tcW w:w="86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5697,7</w:t>
            </w:r>
          </w:p>
        </w:tc>
        <w:tc>
          <w:tcPr>
            <w:tcW w:w="1413"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5428,5</w:t>
            </w:r>
          </w:p>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r>
      <w:tr>
        <w:trPr>
          <w:trHeight w:val="706" w:hRule="atLeast"/>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прочие источники</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129,4</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129,4</w:t>
            </w:r>
          </w:p>
        </w:tc>
      </w:tr>
      <w:tr>
        <w:trPr/>
        <w:tc>
          <w:tcPr>
            <w:tcW w:w="325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6"/>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 xml:space="preserve">Муниципальная программа «Комплексное развитие систем коммунальной инфраструктуры Пильнинского муниципального округа на 2023-2025 годы» </w:t>
            </w:r>
            <w:r>
              <w:rPr>
                <w:rFonts w:eastAsia="Calibri" w:cs="Times New Roman" w:ascii="Times New Roman" w:hAnsi="Times New Roman"/>
                <w:bCs/>
                <w:sz w:val="20"/>
                <w:szCs w:val="20"/>
              </w:rPr>
              <w:t>(Благоустройство)</w:t>
            </w:r>
          </w:p>
        </w:tc>
        <w:tc>
          <w:tcPr>
            <w:tcW w:w="224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Тенекаевский территориальный отдел администрации Пильнинского муниципального округа Нижегородской области</w:t>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
                <w:sz w:val="20"/>
                <w:szCs w:val="20"/>
              </w:rPr>
            </w:pPr>
            <w:r>
              <w:rPr>
                <w:rFonts w:eastAsia="Calibri" w:cs="Times New Roman" w:ascii="Times New Roman" w:hAnsi="Times New Roman"/>
                <w:b/>
                <w:sz w:val="20"/>
                <w:szCs w:val="20"/>
              </w:rPr>
              <w:t xml:space="preserve">Всего </w:t>
            </w:r>
            <w:hyperlink w:anchor="Par294">
              <w:r>
                <w:rPr>
                  <w:rFonts w:eastAsia="Calibri" w:cs="Times New Roman" w:ascii="Times New Roman" w:hAnsi="Times New Roman"/>
                  <w:b/>
                  <w:sz w:val="20"/>
                  <w:szCs w:val="20"/>
                </w:rPr>
                <w:t>(1)</w:t>
              </w:r>
            </w:hyperlink>
            <w:r>
              <w:rPr>
                <w:rFonts w:eastAsia="Calibri" w:cs="Times New Roman" w:ascii="Times New Roman" w:hAnsi="Times New Roman"/>
                <w:b/>
                <w:sz w:val="20"/>
                <w:szCs w:val="20"/>
              </w:rPr>
              <w:t xml:space="preserve"> + </w:t>
            </w:r>
            <w:hyperlink w:anchor="Par298">
              <w:r>
                <w:rPr>
                  <w:rFonts w:eastAsia="Calibri" w:cs="Times New Roman" w:ascii="Times New Roman" w:hAnsi="Times New Roman"/>
                  <w:b/>
                  <w:sz w:val="20"/>
                  <w:szCs w:val="20"/>
                </w:rPr>
                <w:t>(2)</w:t>
              </w:r>
            </w:hyperlink>
            <w:r>
              <w:rPr>
                <w:rFonts w:eastAsia="Calibri" w:cs="Times New Roman" w:ascii="Times New Roman" w:hAnsi="Times New Roman"/>
                <w:b/>
                <w:sz w:val="20"/>
                <w:szCs w:val="20"/>
              </w:rPr>
              <w:t xml:space="preserve"> + </w:t>
            </w:r>
            <w:hyperlink w:anchor="Par301">
              <w:r>
                <w:rPr>
                  <w:rFonts w:eastAsia="Calibri" w:cs="Times New Roman" w:ascii="Times New Roman" w:hAnsi="Times New Roman"/>
                  <w:b/>
                  <w:sz w:val="20"/>
                  <w:szCs w:val="20"/>
                </w:rPr>
                <w:t>(3)</w:t>
              </w:r>
            </w:hyperlink>
            <w:r>
              <w:rPr>
                <w:rFonts w:eastAsia="Calibri" w:cs="Times New Roman" w:ascii="Times New Roman" w:hAnsi="Times New Roman"/>
                <w:b/>
                <w:sz w:val="20"/>
                <w:szCs w:val="20"/>
              </w:rPr>
              <w:t xml:space="preserve"> + </w:t>
            </w:r>
            <w:hyperlink w:anchor="Par304">
              <w:r>
                <w:rPr>
                  <w:rFonts w:eastAsia="Calibri" w:cs="Times New Roman" w:ascii="Times New Roman" w:hAnsi="Times New Roman"/>
                  <w:b/>
                  <w:sz w:val="20"/>
                  <w:szCs w:val="20"/>
                </w:rPr>
                <w:t>(4)</w:t>
              </w:r>
            </w:hyperlink>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2789,2</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2726,7</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4"/>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 xml:space="preserve">федеральный бюджет </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4"/>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областной бюджет</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575,2</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575,2</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4"/>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 xml:space="preserve">местный бюджет </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2214,0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2151,5</w:t>
            </w:r>
          </w:p>
        </w:tc>
      </w:tr>
      <w:tr>
        <w:trPr>
          <w:trHeight w:val="950" w:hRule="atLeast"/>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4"/>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прочие источники</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r>
      <w:tr>
        <w:trPr/>
        <w:tc>
          <w:tcPr>
            <w:tcW w:w="325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6"/>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bCs/>
                <w:sz w:val="20"/>
                <w:szCs w:val="20"/>
              </w:rPr>
              <w:t>Муниципальная программа «Развитие культуры Пильнинского округа Нижегородской области на 2018-2025 годы»</w:t>
            </w:r>
          </w:p>
        </w:tc>
        <w:tc>
          <w:tcPr>
            <w:tcW w:w="224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Тенекаевский территориальный отдел администрации Пильнинского муниципального округа Нижегородской области</w:t>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
                <w:sz w:val="20"/>
                <w:szCs w:val="20"/>
              </w:rPr>
            </w:pPr>
            <w:r>
              <w:rPr>
                <w:rFonts w:eastAsia="Calibri" w:cs="Times New Roman" w:ascii="Times New Roman" w:hAnsi="Times New Roman"/>
                <w:b/>
                <w:sz w:val="20"/>
                <w:szCs w:val="20"/>
              </w:rPr>
              <w:t xml:space="preserve">Всего </w:t>
            </w:r>
            <w:hyperlink w:anchor="Par294">
              <w:r>
                <w:rPr>
                  <w:rFonts w:eastAsia="Calibri" w:cs="Times New Roman" w:ascii="Times New Roman" w:hAnsi="Times New Roman"/>
                  <w:b/>
                  <w:sz w:val="20"/>
                  <w:szCs w:val="20"/>
                </w:rPr>
                <w:t>(1)</w:t>
              </w:r>
            </w:hyperlink>
            <w:r>
              <w:rPr>
                <w:rFonts w:eastAsia="Calibri" w:cs="Times New Roman" w:ascii="Times New Roman" w:hAnsi="Times New Roman"/>
                <w:b/>
                <w:sz w:val="20"/>
                <w:szCs w:val="20"/>
              </w:rPr>
              <w:t xml:space="preserve"> + </w:t>
            </w:r>
            <w:hyperlink w:anchor="Par298">
              <w:r>
                <w:rPr>
                  <w:rFonts w:eastAsia="Calibri" w:cs="Times New Roman" w:ascii="Times New Roman" w:hAnsi="Times New Roman"/>
                  <w:b/>
                  <w:sz w:val="20"/>
                  <w:szCs w:val="20"/>
                </w:rPr>
                <w:t>(2)</w:t>
              </w:r>
            </w:hyperlink>
            <w:r>
              <w:rPr>
                <w:rFonts w:eastAsia="Calibri" w:cs="Times New Roman" w:ascii="Times New Roman" w:hAnsi="Times New Roman"/>
                <w:b/>
                <w:sz w:val="20"/>
                <w:szCs w:val="20"/>
              </w:rPr>
              <w:t xml:space="preserve"> + </w:t>
            </w:r>
            <w:hyperlink w:anchor="Par301">
              <w:r>
                <w:rPr>
                  <w:rFonts w:eastAsia="Calibri" w:cs="Times New Roman" w:ascii="Times New Roman" w:hAnsi="Times New Roman"/>
                  <w:b/>
                  <w:sz w:val="20"/>
                  <w:szCs w:val="20"/>
                </w:rPr>
                <w:t>(3)</w:t>
              </w:r>
            </w:hyperlink>
            <w:r>
              <w:rPr>
                <w:rFonts w:eastAsia="Calibri" w:cs="Times New Roman" w:ascii="Times New Roman" w:hAnsi="Times New Roman"/>
                <w:b/>
                <w:sz w:val="20"/>
                <w:szCs w:val="20"/>
              </w:rPr>
              <w:t xml:space="preserve"> + </w:t>
            </w:r>
            <w:hyperlink w:anchor="Par304">
              <w:r>
                <w:rPr>
                  <w:rFonts w:eastAsia="Calibri" w:cs="Times New Roman" w:ascii="Times New Roman" w:hAnsi="Times New Roman"/>
                  <w:b/>
                  <w:sz w:val="20"/>
                  <w:szCs w:val="20"/>
                </w:rPr>
                <w:t>(4)</w:t>
              </w:r>
            </w:hyperlink>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2981,7</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2956,8</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5"/>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федеральный бюджет</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5"/>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областной бюджет</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5"/>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 xml:space="preserve">местный бюджет </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2981,7</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2956,8</w:t>
            </w:r>
          </w:p>
        </w:tc>
      </w:tr>
      <w:tr>
        <w:trPr/>
        <w:tc>
          <w:tcPr>
            <w:tcW w:w="325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2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2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5"/>
              </w:numPr>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прочие источники</w:t>
            </w:r>
          </w:p>
        </w:tc>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0</w:t>
            </w:r>
          </w:p>
        </w:tc>
      </w:tr>
    </w:tbl>
    <w:p>
      <w:pPr>
        <w:pStyle w:val="Normal"/>
        <w:spacing w:lineRule="auto" w:line="240" w:before="0" w:after="0"/>
        <w:rPr>
          <w:rFonts w:ascii="Times New Roman" w:hAnsi="Times New Roman" w:eastAsia="Calibri" w:cs="Times New Roman"/>
          <w:sz w:val="24"/>
          <w:szCs w:val="24"/>
        </w:rPr>
      </w:pPr>
      <w:r>
        <w:rPr/>
      </w:r>
    </w:p>
    <w:sectPr>
      <w:type w:val="nextPage"/>
      <w:pgSz w:w="11906" w:h="16838"/>
      <w:pgMar w:left="1134" w:right="566" w:gutter="0" w:header="0" w:top="426"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c7bcf"/>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f24288"/>
    <w:rPr>
      <w:rFonts w:ascii="Segoe UI" w:hAnsi="Segoe UI" w:cs="Segoe UI"/>
      <w:sz w:val="18"/>
      <w:szCs w:val="18"/>
    </w:rPr>
  </w:style>
  <w:style w:type="character" w:styleId="Hyperlink">
    <w:name w:val="Hyperlink"/>
    <w:rPr>
      <w:color w:val="000080"/>
      <w:u w:val="single"/>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NoSpacing">
    <w:name w:val="No Spacing"/>
    <w:uiPriority w:val="1"/>
    <w:qFormat/>
    <w:rsid w:val="001c7bcf"/>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BalloonText">
    <w:name w:val="Balloon Text"/>
    <w:basedOn w:val="Normal"/>
    <w:link w:val="Style14"/>
    <w:uiPriority w:val="99"/>
    <w:semiHidden/>
    <w:unhideWhenUsed/>
    <w:qFormat/>
    <w:rsid w:val="00f24288"/>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167</TotalTime>
  <Application>LibreOffice/7.6.0.3$Windows_X86_64 LibreOffice_project/69edd8b8ebc41d00b4de3915dc82f8f0fc3b6265</Application>
  <AppVersion>15.0000</AppVersion>
  <Pages>6</Pages>
  <Words>1909</Words>
  <Characters>13365</Characters>
  <CharactersWithSpaces>16744</CharactersWithSpaces>
  <Paragraphs>285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2026-02-12T12:18:00Z</dcterms:created>
  <dc:creator>admin</dc:creator>
  <dc:description/>
  <dc:language>ru-RU</dc:language>
  <cp:lastModifiedBy/>
  <cp:lastPrinted>2026-03-30T09:01:00Z</cp:lastPrinted>
  <dcterms:modified xsi:type="dcterms:W3CDTF">2026-03-30T13:54:07Z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